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c>
          <w:tcPr>
            <w:tcW w:type="dxa" w:w="10080"/>
            <w:shd w:fill="07101F" w:color="auto" w:val="clear"/>
            <w:tcMar>
              <w:top w:type="dxa" w:w="620"/>
              <w:left w:type="dxa" w:w="460"/>
              <w:bottom w:type="dxa" w:w="620"/>
              <w:right w:type="dxa" w:w="460"/>
            </w:tcMar>
          </w:tcPr>
          <w:p>
            <w:pPr>
              <w:spacing w:after="320" w:line="300"/>
            </w:pPr>
            <w:r>
              <w:rPr>
                <w:rFonts w:ascii="Courier New" w:cs="Courier New" w:eastAsia="Courier New" w:hAnsi="Courier New"/>
                <w:b/>
                <w:bCs/>
                <w:color w:val="8FA6C8"/>
                <w:sz w:val="17"/>
                <w:szCs w:val="17"/>
              </w:rPr>
              <w:t xml:space="preserve">[ CLIFFORD · WRITECLIFFORD.COM ]</w:t>
            </w:r>
          </w:p>
          <w:p>
            <w:pPr>
              <w:spacing w:after="0" w:line="300"/>
            </w:pPr>
            <w:r>
              <w:rPr>
                <w:rFonts w:ascii="Georgia" w:cs="Georgia" w:eastAsia="Georgia" w:hAnsi="Georgia"/>
                <w:b/>
                <w:bCs/>
                <w:color w:val="FFFFFF"/>
                <w:sz w:val="60"/>
                <w:szCs w:val="60"/>
              </w:rPr>
              <w:t xml:space="preserve">System Notification</w:t>
            </w:r>
          </w:p>
          <w:p>
            <w:pPr>
              <w:spacing w:after="300" w:line="300"/>
            </w:pPr>
            <w:r>
              <w:rPr>
                <w:rFonts w:ascii="Georgia" w:cs="Georgia" w:eastAsia="Georgia" w:hAnsi="Georgia"/>
                <w:b/>
                <w:bCs/>
                <w:color w:val="FFFFFF"/>
                <w:sz w:val="60"/>
                <w:szCs w:val="60"/>
              </w:rPr>
              <w:t xml:space="preserve">Style Guide</w:t>
            </w:r>
          </w:p>
          <w:p>
            <w:pPr>
              <w:spacing w:after="0" w:line="300"/>
            </w:pPr>
            <w:r>
              <w:rPr>
                <w:rFonts w:ascii="Georgia" w:cs="Georgia" w:eastAsia="Georgia" w:hAnsi="Georgia"/>
                <w:i/>
                <w:iCs/>
                <w:color w:val="C3CEDF"/>
                <w:sz w:val="22"/>
                <w:szCs w:val="22"/>
              </w:rPr>
              <w:t xml:space="preserve">Decide once how your status windows, level-ups, and quest prompts look — then never argue with yourself about it again.</w:t>
            </w:r>
          </w:p>
        </w:tc>
      </w:tr>
    </w:tbl>
    <w:p>
      <w:pPr>
        <w:spacing w:after="300" w:line="300"/>
      </w:pPr>
      <w:r>
        <w:rPr>
          <w:rFonts w:ascii="Georgia" w:cs="Georgia" w:eastAsia="Georgia" w:hAnsi="Georgia"/>
          <w:b w:val="false"/>
          <w:bCs w:val="false"/>
          <w:i w:val="false"/>
          <w:iCs w:val="false"/>
          <w:color w:val="1A1F2B"/>
          <w:sz w:val="21"/>
          <w:szCs w:val="21"/>
        </w:rPr>
        <w:t xml:space="preserve"/>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 Level Up ]</w:t>
            </w:r>
          </w:p>
          <w:p>
            <w:pPr>
              <w:spacing w:after="50" w:line="260"/>
            </w:pPr>
            <w:r>
              <w:rPr>
                <w:rFonts w:ascii="Courier New" w:cs="Courier New" w:eastAsia="Courier New" w:hAnsi="Courier New"/>
                <w:i w:val="false"/>
                <w:iCs w:val="false"/>
                <w:color w:val="111820"/>
                <w:sz w:val="19"/>
                <w:szCs w:val="19"/>
              </w:rPr>
              <w:t xml:space="preserve">Lyra Thorne — Level 17 → 18</w:t>
            </w:r>
          </w:p>
          <w:p>
            <w:pPr>
              <w:spacing w:after="50" w:line="260"/>
            </w:pPr>
            <w:r>
              <w:rPr>
                <w:rFonts w:ascii="Courier New" w:cs="Courier New" w:eastAsia="Courier New" w:hAnsi="Courier New"/>
                <w:i w:val="false"/>
                <w:iCs w:val="false"/>
                <w:color w:val="111820"/>
                <w:sz w:val="19"/>
                <w:szCs w:val="19"/>
              </w:rPr>
              <w:t xml:space="preserve">+5 attribute points available</w:t>
            </w:r>
          </w:p>
          <w:p>
            <w:pPr>
              <w:spacing w:after="50" w:line="260"/>
            </w:pPr>
            <w:r>
              <w:rPr>
                <w:rFonts w:ascii="Courier New" w:cs="Courier New" w:eastAsia="Courier New" w:hAnsi="Courier New"/>
                <w:i w:val="false"/>
                <w:iCs w:val="false"/>
                <w:color w:val="111820"/>
                <w:sz w:val="19"/>
                <w:szCs w:val="19"/>
              </w:rPr>
              <w:t xml:space="preserve"> </w:t>
            </w:r>
          </w:p>
          <w:p>
            <w:pPr>
              <w:spacing w:after="0" w:line="260"/>
            </w:pPr>
            <w:r>
              <w:rPr>
                <w:rFonts w:ascii="Georgia" w:cs="Georgia" w:eastAsia="Georgia" w:hAnsi="Georgia"/>
                <w:i/>
                <w:iCs/>
                <w:color w:val="5B6577"/>
                <w:sz w:val="18"/>
                <w:szCs w:val="18"/>
              </w:rPr>
              <w:t xml:space="preserve">~ The house style this guide is going to help you choose.</w:t>
            </w:r>
          </w:p>
        </w:tc>
      </w:tr>
    </w:tbl>
    <w:p>
      <w:pPr>
        <w:spacing w:after="240" w:line="300"/>
      </w:pPr>
      <w:r>
        <w:rPr>
          <w:rFonts w:ascii="Georgia" w:cs="Georgia" w:eastAsia="Georgia" w:hAnsi="Georgia"/>
          <w:b w:val="false"/>
          <w:bCs w:val="false"/>
          <w:i w:val="false"/>
          <w:iCs w:val="false"/>
          <w:color w:val="1A1F2B"/>
          <w:sz w:val="21"/>
          <w:szCs w:val="21"/>
        </w:rPr>
        <w:t xml:space="preserve"/>
      </w:r>
    </w:p>
    <w:p>
      <w:pPr>
        <w:spacing w:after="0" w:line="300"/>
      </w:pPr>
      <w:r>
        <w:rPr>
          <w:rFonts w:ascii="Georgia" w:cs="Georgia" w:eastAsia="Georgia" w:hAnsi="Georgia"/>
          <w:b/>
          <w:bCs/>
          <w:i w:val="false"/>
          <w:iCs w:val="false"/>
          <w:color w:val="1A1F2B"/>
          <w:sz w:val="21"/>
          <w:szCs w:val="21"/>
        </w:rPr>
        <w:t xml:space="preserve">A free template from Clifford — a character tracker for writers.</w:t>
      </w:r>
    </w:p>
    <w:p>
      <w:pPr>
        <w:spacing w:after="0" w:line="300"/>
      </w:pPr>
      <w:r>
        <w:rPr>
          <w:rFonts w:ascii="Georgia" w:cs="Georgia" w:eastAsia="Georgia" w:hAnsi="Georgia"/>
          <w:b w:val="false"/>
          <w:bCs w:val="false"/>
          <w:i w:val="false"/>
          <w:iCs w:val="false"/>
          <w:color w:val="2B5FD9"/>
          <w:sz w:val="21"/>
          <w:szCs w:val="21"/>
        </w:rPr>
        <w:t xml:space="preserve">writeclifford.com</w:t>
      </w:r>
    </w:p>
    <w:p>
      <w:pPr>
        <w:pageBreakBefore/>
      </w:pPr>
      <w:r>
        <w:br/>
        <w:t xml:space="preserve"/>
      </w:r>
    </w:p>
    <w:p>
      <w:pPr>
        <w:pStyle w:val="Heading1"/>
        <w:pBdr>
          <w:bottom w:val="single" w:color="07101F" w:sz="10" w:space="7"/>
        </w:pBdr>
        <w:spacing w:after="170" w:before="420"/>
      </w:pPr>
      <w:r>
        <w:rPr>
          <w:rFonts w:ascii="Georgia" w:cs="Georgia" w:eastAsia="Georgia" w:hAnsi="Georgia"/>
          <w:b/>
          <w:bCs/>
          <w:color w:val="07101F"/>
          <w:sz w:val="32"/>
          <w:szCs w:val="32"/>
        </w:rPr>
        <w:t xml:space="preserve">Why this document exists</w:t>
      </w:r>
    </w:p>
    <w:p>
      <w:pPr>
        <w:spacing w:after="130" w:line="300"/>
      </w:pPr>
      <w:r>
        <w:rPr>
          <w:rFonts w:ascii="Georgia" w:cs="Georgia" w:eastAsia="Georgia" w:hAnsi="Georgia"/>
          <w:b w:val="false"/>
          <w:bCs w:val="false"/>
          <w:i w:val="false"/>
          <w:iCs w:val="false"/>
          <w:color w:val="1A1F2B"/>
          <w:sz w:val="21"/>
          <w:szCs w:val="21"/>
        </w:rPr>
        <w:t xml:space="preserve">Nobody sets out to format their status windows six different ways. It happens anyway, and it happens for a boring reason: you invent the look of a level-up notification in chapter three, at eleven at night, in the middle of a scene you are trying to finish. It is not a decision. It is a side effect. Forty chapters later you invent it again, slightly differently, because you cannot remember what you did the first time.</w:t>
      </w:r>
    </w:p>
    <w:p>
      <w:pPr>
        <w:spacing w:after="130" w:line="300"/>
      </w:pPr>
      <w:r>
        <w:rPr>
          <w:rFonts w:ascii="Georgia" w:cs="Georgia" w:eastAsia="Georgia" w:hAnsi="Georgia"/>
          <w:b w:val="false"/>
          <w:bCs w:val="false"/>
          <w:i w:val="false"/>
          <w:iCs w:val="false"/>
          <w:color w:val="1A1F2B"/>
          <w:sz w:val="21"/>
          <w:szCs w:val="21"/>
        </w:rPr>
        <w:t xml:space="preserve">Readers of this genre notice. The boxes are the part of the page their eye jumps to, which means inconsistency in them is the most visible inconsistency you can have. Brackets in book one and bold caps in book two reads as carelessness even to a reader who could not tell you what changed.</w:t>
      </w:r>
    </w:p>
    <w:p>
      <w:pPr>
        <w:spacing w:after="130" w:line="300"/>
      </w:pPr>
      <w:r>
        <w:rPr>
          <w:rFonts w:ascii="Georgia" w:cs="Georgia" w:eastAsia="Georgia" w:hAnsi="Georgia"/>
          <w:b w:val="false"/>
          <w:bCs w:val="false"/>
          <w:i w:val="false"/>
          <w:iCs w:val="false"/>
          <w:color w:val="1A1F2B"/>
          <w:sz w:val="21"/>
          <w:szCs w:val="21"/>
        </w:rPr>
        <w:t xml:space="preserve">So: fill in Part 6 of this guide, keep it beside your manuscript, and copy from it rather than from memory. Twenty minutes now, and the rest of the series formats itself.</w:t>
      </w:r>
    </w:p>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If you only do one thing with this document, do Part 6. Everything before it exists to help you fill that table in.</w:t>
      </w:r>
    </w:p>
    <w:p>
      <w:pPr>
        <w:spacing w:after="40" w:before="400"/>
      </w:pPr>
      <w:r>
        <w:rPr>
          <w:rFonts w:ascii="Courier New" w:cs="Courier New" w:eastAsia="Courier New" w:hAnsi="Courier New"/>
          <w:b/>
          <w:bCs/>
          <w:color w:val="2B5FD9"/>
          <w:sz w:val="17"/>
          <w:szCs w:val="17"/>
        </w:rPr>
        <w:t xml:space="preserve">[ PART 1 ]</w:t>
      </w:r>
    </w:p>
    <w:p>
      <w:pPr>
        <w:pStyle w:val="Heading1"/>
        <w:pBdr>
          <w:bottom w:val="single" w:color="07101F" w:sz="10" w:space="7"/>
        </w:pBdr>
        <w:spacing w:after="170" w:before="0"/>
      </w:pPr>
      <w:r>
        <w:rPr>
          <w:rFonts w:ascii="Georgia" w:cs="Georgia" w:eastAsia="Georgia" w:hAnsi="Georgia"/>
          <w:b/>
          <w:bCs/>
          <w:color w:val="07101F"/>
          <w:sz w:val="32"/>
          <w:szCs w:val="32"/>
        </w:rPr>
        <w:t xml:space="preserve">Lock the system’s voice</w:t>
      </w:r>
    </w:p>
    <w:p>
      <w:pPr>
        <w:spacing w:after="130" w:line="300"/>
      </w:pPr>
      <w:r>
        <w:rPr>
          <w:rFonts w:ascii="Georgia" w:cs="Georgia" w:eastAsia="Georgia" w:hAnsi="Georgia"/>
          <w:b w:val="false"/>
          <w:bCs w:val="false"/>
          <w:i w:val="false"/>
          <w:iCs w:val="false"/>
          <w:color w:val="1A1F2B"/>
          <w:sz w:val="21"/>
          <w:szCs w:val="21"/>
        </w:rPr>
        <w:t xml:space="preserve">Before formatting, decide who or what is speaking. This is the choice that carries the most weight and gets the least thought. The same event, four ways:</w:t>
      </w:r>
    </w:p>
    <w:p>
      <w:pPr>
        <w:pStyle w:val="Heading3"/>
        <w:spacing w:after="70" w:before="220"/>
      </w:pPr>
      <w:r>
        <w:rPr>
          <w:rFonts w:ascii="Arial" w:cs="Arial" w:eastAsia="Arial" w:hAnsi="Arial"/>
          <w:b/>
          <w:bCs/>
          <w:color w:val="07101F"/>
          <w:sz w:val="19"/>
          <w:szCs w:val="19"/>
        </w:rPr>
        <w:t xml:space="preserve">A.  Terse machine</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[Level Up]</w:t>
            </w:r>
          </w:p>
          <w:p>
            <w:pPr>
              <w:spacing w:after="50" w:line="260"/>
            </w:pPr>
            <w:r>
              <w:rPr>
                <w:rFonts w:ascii="Courier New" w:cs="Courier New" w:eastAsia="Courier New" w:hAnsi="Courier New"/>
                <w:i w:val="false"/>
                <w:iCs w:val="false"/>
                <w:color w:val="111820"/>
                <w:sz w:val="19"/>
                <w:szCs w:val="19"/>
              </w:rPr>
              <w:t xml:space="preserve">Level 17 → 18</w:t>
            </w:r>
          </w:p>
          <w:p>
            <w:pPr>
              <w:spacing w:after="0" w:line="260"/>
            </w:pPr>
            <w:r>
              <w:rPr>
                <w:rFonts w:ascii="Courier New" w:cs="Courier New" w:eastAsia="Courier New" w:hAnsi="Courier New"/>
                <w:i w:val="false"/>
                <w:iCs w:val="false"/>
                <w:color w:val="111820"/>
                <w:sz w:val="19"/>
                <w:szCs w:val="19"/>
              </w:rPr>
              <w:t xml:space="preserve">+5 points</w:t>
            </w:r>
          </w:p>
        </w:tc>
      </w:tr>
    </w:tbl>
    <w:p>
      <w:pPr>
        <w:spacing w:after="130" w:line="300"/>
      </w:pPr>
      <w:r>
        <w:rPr>
          <w:rFonts w:ascii="Georgia" w:cs="Georgia" w:eastAsia="Georgia" w:hAnsi="Georgia"/>
          <w:b w:val="false"/>
          <w:bCs w:val="false"/>
          <w:i/>
          <w:iCs/>
          <w:color w:val="1A1F2B"/>
          <w:sz w:val="21"/>
          <w:szCs w:val="21"/>
        </w:rPr>
        <w:t xml:space="preserve">Neutral, fast, disappears into the prose. The safest default and the hardest to get wrong. Best when the system is furniture rather than a character.</w:t>
      </w:r>
    </w:p>
    <w:p>
      <w:pPr>
        <w:pStyle w:val="Heading3"/>
        <w:spacing w:after="70" w:before="220"/>
      </w:pPr>
      <w:r>
        <w:rPr>
          <w:rFonts w:ascii="Arial" w:cs="Arial" w:eastAsia="Arial" w:hAnsi="Arial"/>
          <w:b/>
          <w:bCs/>
          <w:color w:val="07101F"/>
          <w:sz w:val="19"/>
          <w:szCs w:val="19"/>
        </w:rPr>
        <w:t xml:space="preserve">B.  Formal herald</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  ASCENSION  ◆</w:t>
            </w:r>
          </w:p>
          <w:p>
            <w:pPr>
              <w:spacing w:after="50" w:line="260"/>
            </w:pPr>
            <w:r>
              <w:rPr>
                <w:rFonts w:ascii="Courier New" w:cs="Courier New" w:eastAsia="Courier New" w:hAnsi="Courier New"/>
                <w:i w:val="false"/>
                <w:iCs w:val="false"/>
                <w:color w:val="111820"/>
                <w:sz w:val="19"/>
                <w:szCs w:val="19"/>
              </w:rPr>
              <w:t xml:space="preserve">The System acknowledges your growth.</w:t>
            </w:r>
          </w:p>
          <w:p>
            <w:pPr>
              <w:spacing w:after="50" w:line="260"/>
            </w:pPr>
            <w:r>
              <w:rPr>
                <w:rFonts w:ascii="Courier New" w:cs="Courier New" w:eastAsia="Courier New" w:hAnsi="Courier New"/>
                <w:i w:val="false"/>
                <w:iCs w:val="false"/>
                <w:color w:val="111820"/>
                <w:sz w:val="19"/>
                <w:szCs w:val="19"/>
              </w:rPr>
              <w:t xml:space="preserve">You have attained Level 18.</w:t>
            </w:r>
          </w:p>
          <w:p>
            <w:pPr>
              <w:spacing w:after="0" w:line="260"/>
            </w:pPr>
            <w:r>
              <w:rPr>
                <w:rFonts w:ascii="Courier New" w:cs="Courier New" w:eastAsia="Courier New" w:hAnsi="Courier New"/>
                <w:i w:val="false"/>
                <w:iCs w:val="false"/>
                <w:color w:val="111820"/>
                <w:sz w:val="19"/>
                <w:szCs w:val="19"/>
              </w:rPr>
              <w:t xml:space="preserve">Five attribute points await allocation.</w:t>
            </w:r>
          </w:p>
        </w:tc>
      </w:tr>
    </w:tbl>
    <w:p>
      <w:pPr>
        <w:spacing w:after="130" w:line="300"/>
      </w:pPr>
      <w:r>
        <w:rPr>
          <w:rFonts w:ascii="Georgia" w:cs="Georgia" w:eastAsia="Georgia" w:hAnsi="Georgia"/>
          <w:b w:val="false"/>
          <w:bCs w:val="false"/>
          <w:i/>
          <w:iCs/>
          <w:color w:val="1A1F2B"/>
          <w:sz w:val="21"/>
          <w:szCs w:val="21"/>
        </w:rPr>
        <w:t xml:space="preserve">Ceremonial and weighty. Excellent once per book, exhausting every eleven pages. If you choose this, you will need a shorter variant for routine events — decide now what it is.</w:t>
      </w:r>
    </w:p>
    <w:p>
      <w:pPr>
        <w:pStyle w:val="Heading3"/>
        <w:spacing w:after="70" w:before="220"/>
      </w:pPr>
      <w:r>
        <w:rPr>
          <w:rFonts w:ascii="Arial" w:cs="Arial" w:eastAsia="Arial" w:hAnsi="Arial"/>
          <w:b/>
          <w:bCs/>
          <w:color w:val="07101F"/>
          <w:sz w:val="19"/>
          <w:szCs w:val="19"/>
        </w:rPr>
        <w:t xml:space="preserve">C.  Dry administrator</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&gt; Level 18. Congratulations, presumably.</w:t>
            </w:r>
          </w:p>
          <w:p>
            <w:pPr>
              <w:spacing w:after="0" w:line="260"/>
            </w:pPr>
            <w:r>
              <w:rPr>
                <w:rFonts w:ascii="Courier New" w:cs="Courier New" w:eastAsia="Courier New" w:hAnsi="Courier New"/>
                <w:i w:val="false"/>
                <w:iCs w:val="false"/>
                <w:color w:val="111820"/>
                <w:sz w:val="19"/>
                <w:szCs w:val="19"/>
              </w:rPr>
              <w:t xml:space="preserve">&gt; 5 points. Try not to put them all in Luck again.</w:t>
            </w:r>
          </w:p>
        </w:tc>
      </w:tr>
    </w:tbl>
    <w:p>
      <w:pPr>
        <w:spacing w:after="130" w:line="300"/>
      </w:pPr>
      <w:r>
        <w:rPr>
          <w:rFonts w:ascii="Georgia" w:cs="Georgia" w:eastAsia="Georgia" w:hAnsi="Georgia"/>
          <w:b w:val="false"/>
          <w:bCs w:val="false"/>
          <w:i/>
          <w:iCs/>
          <w:color w:val="1A1F2B"/>
          <w:sz w:val="21"/>
          <w:szCs w:val="21"/>
        </w:rPr>
        <w:t xml:space="preserve">Gives the system a personality and buys you a free comic voice. The cost: every notification now needs a joke, and a system with opinions is a character whose knowledge and motives readers will interrogate.</w:t>
      </w:r>
    </w:p>
    <w:p>
      <w:pPr>
        <w:pStyle w:val="Heading3"/>
        <w:spacing w:after="70" w:before="220"/>
      </w:pPr>
      <w:r>
        <w:rPr>
          <w:rFonts w:ascii="Arial" w:cs="Arial" w:eastAsia="Arial" w:hAnsi="Arial"/>
          <w:b/>
          <w:bCs/>
          <w:color w:val="07101F"/>
          <w:sz w:val="19"/>
          <w:szCs w:val="19"/>
        </w:rPr>
        <w:t xml:space="preserve">D.  Fragmentary / divine</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you rise</w:t>
            </w:r>
          </w:p>
          <w:p>
            <w:pPr>
              <w:spacing w:after="50" w:line="260"/>
            </w:pPr>
            <w:r>
              <w:rPr>
                <w:rFonts w:ascii="Courier New" w:cs="Courier New" w:eastAsia="Courier New" w:hAnsi="Courier New"/>
                <w:i w:val="false"/>
                <w:iCs w:val="false"/>
                <w:color w:val="111820"/>
                <w:sz w:val="19"/>
                <w:szCs w:val="19"/>
              </w:rPr>
              <w:t xml:space="preserve">[ LEVEL 18 ]</w:t>
            </w:r>
          </w:p>
          <w:p>
            <w:pPr>
              <w:spacing w:after="0" w:line="260"/>
            </w:pPr>
            <w:r>
              <w:rPr>
                <w:rFonts w:ascii="Courier New" w:cs="Courier New" w:eastAsia="Courier New" w:hAnsi="Courier New"/>
                <w:i w:val="false"/>
                <w:iCs w:val="false"/>
                <w:color w:val="111820"/>
                <w:sz w:val="19"/>
                <w:szCs w:val="19"/>
              </w:rPr>
              <w:t xml:space="preserve">the pattern makes room for you</w:t>
            </w:r>
          </w:p>
        </w:tc>
      </w:tr>
    </w:tbl>
    <w:p>
      <w:pPr>
        <w:spacing w:after="130" w:line="300"/>
      </w:pPr>
      <w:r>
        <w:rPr>
          <w:rFonts w:ascii="Georgia" w:cs="Georgia" w:eastAsia="Georgia" w:hAnsi="Georgia"/>
          <w:b w:val="false"/>
          <w:bCs w:val="false"/>
          <w:i/>
          <w:iCs/>
          <w:color w:val="1A1F2B"/>
          <w:sz w:val="21"/>
          <w:szCs w:val="21"/>
        </w:rPr>
        <w:t xml:space="preserve">Atmospheric, ambiguous, good for cosmic-horror or apocalypse settings. Poor at conveying numbers, so expect to carry mechanical detail in the prose instead.</w:t>
      </w:r>
    </w:p>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Pick one and do not drift. A second, visibly different system voice should be a plot event — a corrupted interface, a different god, an intrusion — never a stylistic mood you were in on a Tuesday.</w:t>
      </w:r>
    </w:p>
    <w:p>
      <w:pPr>
        <w:spacing w:after="40" w:before="400"/>
      </w:pPr>
      <w:r>
        <w:rPr>
          <w:rFonts w:ascii="Courier New" w:cs="Courier New" w:eastAsia="Courier New" w:hAnsi="Courier New"/>
          <w:b/>
          <w:bCs/>
          <w:color w:val="2B5FD9"/>
          <w:sz w:val="17"/>
          <w:szCs w:val="17"/>
        </w:rPr>
        <w:t xml:space="preserve">[ PART 2 ]</w:t>
      </w:r>
    </w:p>
    <w:p>
      <w:pPr>
        <w:pStyle w:val="Heading1"/>
        <w:pBdr>
          <w:bottom w:val="single" w:color="07101F" w:sz="10" w:space="7"/>
        </w:pBdr>
        <w:spacing w:after="170" w:before="0"/>
      </w:pPr>
      <w:r>
        <w:rPr>
          <w:rFonts w:ascii="Georgia" w:cs="Georgia" w:eastAsia="Georgia" w:hAnsi="Georgia"/>
          <w:b/>
          <w:bCs/>
          <w:color w:val="07101F"/>
          <w:sz w:val="32"/>
          <w:szCs w:val="32"/>
        </w:rPr>
        <w:t xml:space="preserve">Structural decisions</w:t>
      </w:r>
    </w:p>
    <w:p>
      <w:pPr>
        <w:spacing w:after="130" w:line="300"/>
      </w:pPr>
      <w:r>
        <w:rPr>
          <w:rFonts w:ascii="Georgia" w:cs="Georgia" w:eastAsia="Georgia" w:hAnsi="Georgia"/>
          <w:b w:val="false"/>
          <w:bCs w:val="false"/>
          <w:i w:val="false"/>
          <w:iCs w:val="false"/>
          <w:color w:val="1A1F2B"/>
          <w:sz w:val="21"/>
          <w:szCs w:val="21"/>
        </w:rPr>
        <w:t xml:space="preserve">Nine small choices. None of them matter individually; all of them matter once they start contradicting each other.</w:t>
      </w:r>
    </w:p>
    <w:tbl>
      <w:tblPr>
        <w:tblW w:type="dxa" w:w="10080"/>
        <w:tblBorders>
          <w:top w:val="single" w:color="07101F" w:sz="12"/>
          <w:left w:val="none" w:color="FFFFFF" w:sz="0"/>
          <w:bottom w:val="single" w:color="07101F" w:sz="10"/>
          <w:right w:val="none" w:color="FFFFFF" w:sz="0"/>
          <w:insideH w:val="none" w:color="FFFFFF" w:sz="0"/>
          <w:insideV w:val="none" w:color="FFFFFF" w:sz="0"/>
        </w:tblBorders>
      </w:tblPr>
      <w:tblGrid>
        <w:gridCol w:w="1613"/>
        <w:gridCol w:w="3024"/>
        <w:gridCol w:w="2016"/>
        <w:gridCol w:w="3427"/>
      </w:tblGrid>
      <w:tr>
        <w:trPr>
          <w:tblHeader/>
        </w:trPr>
        <w:tc>
          <w:tcPr>
            <w:tcW w:type="dxa" w:w="1613"/>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Decision</w:t>
            </w:r>
          </w:p>
        </w:tc>
        <w:tc>
          <w:tcPr>
            <w:tcW w:type="dxa" w:w="3024"/>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Your options</w:t>
            </w:r>
          </w:p>
        </w:tc>
        <w:tc>
          <w:tcPr>
            <w:tcW w:type="dxa" w:w="2016"/>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Safe default</w:t>
            </w:r>
          </w:p>
        </w:tc>
        <w:tc>
          <w:tcPr>
            <w:tcW w:type="dxa" w:w="3427"/>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Why it matters</w:t>
            </w:r>
          </w:p>
        </w:tc>
      </w:tr>
      <w:tr>
        <w:tc>
          <w:tcPr>
            <w:tcW w:type="dxa" w:w="1613"/>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Delimiter</w:t>
            </w:r>
          </w:p>
        </w:tc>
        <w:tc>
          <w:tcPr>
            <w:tcW w:type="dxa" w:w="3024"/>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Square brackets · symbols (◆ ★) · a plain capitalised label · box-drawing characters</w:t>
            </w:r>
          </w:p>
        </w:tc>
        <w:tc>
          <w:tcPr>
            <w:tcW w:type="dxa" w:w="2016"/>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Square brackets ]</w:t>
            </w:r>
          </w:p>
        </w:tc>
        <w:tc>
          <w:tcPr>
            <w:tcW w:type="dxa" w:w="342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Brackets survive every format and every device. Box-drawing characters do not — see Part 5.</w:t>
            </w:r>
          </w:p>
        </w:tc>
      </w:tr>
      <w:tr>
        <w:tc>
          <w:tcPr>
            <w:tcW w:type="dxa" w:w="1613"/>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Label case</w:t>
            </w:r>
          </w:p>
        </w:tc>
        <w:tc>
          <w:tcPr>
            <w:tcW w:type="dxa" w:w="3024"/>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Title Case · ALL CAPS · lowercase</w:t>
            </w:r>
          </w:p>
        </w:tc>
        <w:tc>
          <w:tcPr>
            <w:tcW w:type="dxa" w:w="2016"/>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Title Case</w:t>
            </w:r>
          </w:p>
        </w:tc>
        <w:tc>
          <w:tcPr>
            <w:tcW w:type="dxa" w:w="3427"/>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All caps looks like shouting at high frequency and is slower to read on small screens.</w:t>
            </w:r>
          </w:p>
        </w:tc>
      </w:tr>
      <w:tr>
        <w:tc>
          <w:tcPr>
            <w:tcW w:type="dxa" w:w="1613"/>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Change notation</w:t>
            </w:r>
          </w:p>
        </w:tc>
        <w:tc>
          <w:tcPr>
            <w:tcW w:type="dxa" w:w="3024"/>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 -&gt; · “to” · “from 17 to 18”</w:t>
            </w:r>
          </w:p>
        </w:tc>
        <w:tc>
          <w:tcPr>
            <w:tcW w:type="dxa" w:w="2016"/>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w:t>
            </w:r>
          </w:p>
        </w:tc>
        <w:tc>
          <w:tcPr>
            <w:tcW w:type="dxa" w:w="342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Whichever you choose, it must be identical in every box for eight books. Also check your ebook font has the glyph.</w:t>
            </w:r>
          </w:p>
        </w:tc>
      </w:tr>
      <w:tr>
        <w:tc>
          <w:tcPr>
            <w:tcW w:type="dxa" w:w="1613"/>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Number style</w:t>
            </w:r>
          </w:p>
        </w:tc>
        <w:tc>
          <w:tcPr>
            <w:tcW w:type="dxa" w:w="3024"/>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18500 · 18,500 · 18.5k</w:t>
            </w:r>
          </w:p>
        </w:tc>
        <w:tc>
          <w:tcPr>
            <w:tcW w:type="dxa" w:w="2016"/>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Comma-separated</w:t>
            </w:r>
          </w:p>
        </w:tc>
        <w:tc>
          <w:tcPr>
            <w:tcW w:type="dxa" w:w="3427"/>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Pick a threshold — commas above 999 — and apply it everywhere, prose included.</w:t>
            </w:r>
          </w:p>
        </w:tc>
      </w:tr>
      <w:tr>
        <w:tc>
          <w:tcPr>
            <w:tcW w:type="dxa" w:w="1613"/>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Stat naming</w:t>
            </w:r>
          </w:p>
        </w:tc>
        <w:tc>
          <w:tcPr>
            <w:tcW w:type="dxa" w:w="3024"/>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Strength · STR · Str</w:t>
            </w:r>
          </w:p>
        </w:tc>
        <w:tc>
          <w:tcPr>
            <w:tcW w:type="dxa" w:w="2016"/>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Abbreviation in boxes, full word in prose</w:t>
            </w:r>
          </w:p>
        </w:tc>
        <w:tc>
          <w:tcPr>
            <w:tcW w:type="dxa" w:w="342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The most common drift of all. Whichever way round, never mix inside a single box.</w:t>
            </w:r>
          </w:p>
        </w:tc>
      </w:tr>
      <w:tr>
        <w:tc>
          <w:tcPr>
            <w:tcW w:type="dxa" w:w="1613"/>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Subject</w:t>
            </w:r>
          </w:p>
        </w:tc>
        <w:tc>
          <w:tcPr>
            <w:tcW w:type="dxa" w:w="3024"/>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“You have gained…” · “Lyra has gained…” · no subject</w:t>
            </w:r>
          </w:p>
        </w:tc>
        <w:tc>
          <w:tcPr>
            <w:tcW w:type="dxa" w:w="2016"/>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Second person</w:t>
            </w:r>
          </w:p>
        </w:tc>
        <w:tc>
          <w:tcPr>
            <w:tcW w:type="dxa" w:w="3427"/>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Second person is the genre convention and it holds even in third-person narration, because the system addresses the character.</w:t>
            </w:r>
          </w:p>
        </w:tc>
      </w:tr>
      <w:tr>
        <w:tc>
          <w:tcPr>
            <w:tcW w:type="dxa" w:w="1613"/>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Tense</w:t>
            </w:r>
          </w:p>
        </w:tc>
        <w:tc>
          <w:tcPr>
            <w:tcW w:type="dxa" w:w="3024"/>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Present · past</w:t>
            </w:r>
          </w:p>
        </w:tc>
        <w:tc>
          <w:tcPr>
            <w:tcW w:type="dxa" w:w="2016"/>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Present</w:t>
            </w:r>
          </w:p>
        </w:tc>
        <w:tc>
          <w:tcPr>
            <w:tcW w:type="dxa" w:w="342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The notification is happening now. Past tense makes it a report and kills the immediacy.</w:t>
            </w:r>
          </w:p>
        </w:tc>
      </w:tr>
      <w:tr>
        <w:tc>
          <w:tcPr>
            <w:tcW w:type="dxa" w:w="1613"/>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Maximum lines</w:t>
            </w:r>
          </w:p>
        </w:tc>
        <w:tc>
          <w:tcPr>
            <w:tcW w:type="dxa" w:w="3024"/>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3 · 6 · unlimited</w:t>
            </w:r>
          </w:p>
        </w:tc>
        <w:tc>
          <w:tcPr>
            <w:tcW w:type="dxa" w:w="2016"/>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6</w:t>
            </w:r>
          </w:p>
        </w:tc>
        <w:tc>
          <w:tcPr>
            <w:tcW w:type="dxa" w:w="3427"/>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Beyond six lines readers skim, which means anything important in line seven is not read.</w:t>
            </w:r>
          </w:p>
        </w:tc>
      </w:tr>
      <w:tr>
        <w:tc>
          <w:tcPr>
            <w:tcW w:type="dxa" w:w="1613"/>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Interactivity</w:t>
            </w:r>
          </w:p>
        </w:tc>
        <w:tc>
          <w:tcPr>
            <w:tcW w:type="dxa" w:w="3024"/>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Read-only · dismissible · configurable · queued</w:t>
            </w:r>
          </w:p>
        </w:tc>
        <w:tc>
          <w:tcPr>
            <w:tcW w:type="dxa" w:w="2016"/>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Dismissible</w:t>
            </w:r>
          </w:p>
        </w:tc>
        <w:tc>
          <w:tcPr>
            <w:tcW w:type="dxa" w:w="342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Whether a character can silence, filter, or postpone notifications is a worldbuilding fact with real plot consequences. Decide it before chapter one.</w:t>
            </w:r>
          </w:p>
        </w:tc>
      </w:tr>
    </w:tbl>
    <w:p>
      <w:pPr>
        <w:spacing w:after="130" w:line="300"/>
      </w:pPr>
      <w:r>
        <w:rPr>
          <w:rFonts w:ascii="Georgia" w:cs="Georgia" w:eastAsia="Georgia" w:hAnsi="Georgia"/>
          <w:b w:val="false"/>
          <w:bCs w:val="false"/>
          <w:i w:val="false"/>
          <w:iCs w:val="false"/>
          <w:color w:val="1A1F2B"/>
          <w:sz w:val="21"/>
          <w:szCs w:val="21"/>
        </w:rPr>
        <w:t xml:space="preserve"/>
      </w:r>
    </w:p>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The last row is the sleeper. “Can she turn them off?” determines whether a stealth scene is possible, whether a notification can interrupt a conversation, and whether the system can withhold information. Answer it early.</w:t>
      </w:r>
    </w:p>
    <w:p>
      <w:pPr>
        <w:spacing w:after="40" w:before="400"/>
      </w:pPr>
      <w:r>
        <w:rPr>
          <w:rFonts w:ascii="Courier New" w:cs="Courier New" w:eastAsia="Courier New" w:hAnsi="Courier New"/>
          <w:b/>
          <w:bCs/>
          <w:color w:val="2B5FD9"/>
          <w:sz w:val="17"/>
          <w:szCs w:val="17"/>
        </w:rPr>
        <w:t xml:space="preserve">[ PART 3 ]</w:t>
      </w:r>
    </w:p>
    <w:p>
      <w:pPr>
        <w:pStyle w:val="Heading1"/>
        <w:pBdr>
          <w:bottom w:val="single" w:color="07101F" w:sz="10" w:space="7"/>
        </w:pBdr>
        <w:spacing w:after="170" w:before="0"/>
      </w:pPr>
      <w:r>
        <w:rPr>
          <w:rFonts w:ascii="Georgia" w:cs="Georgia" w:eastAsia="Georgia" w:hAnsi="Georgia"/>
          <w:b/>
          <w:bCs/>
          <w:color w:val="07101F"/>
          <w:sz w:val="32"/>
          <w:szCs w:val="32"/>
        </w:rPr>
        <w:t xml:space="preserve">Canonical templates</w:t>
      </w:r>
    </w:p>
    <w:p>
      <w:pPr>
        <w:spacing w:after="130" w:line="300"/>
      </w:pPr>
      <w:r>
        <w:rPr>
          <w:rFonts w:ascii="Georgia" w:cs="Georgia" w:eastAsia="Georgia" w:hAnsi="Georgia"/>
          <w:b w:val="false"/>
          <w:bCs w:val="false"/>
          <w:i w:val="false"/>
          <w:iCs w:val="false"/>
          <w:color w:val="1A1F2B"/>
          <w:sz w:val="21"/>
          <w:szCs w:val="21"/>
        </w:rPr>
        <w:t xml:space="preserve">Twelve blocks covering nearly every notification a progression story needs. Adapt the wording to your chosen voice, then copy from here rather than retyping. The examples use the terse-machine voice from Part 1.</w:t>
      </w:r>
    </w:p>
    <w:p>
      <w:pPr>
        <w:pStyle w:val="Heading3"/>
        <w:spacing w:after="70" w:before="220"/>
      </w:pPr>
      <w:r>
        <w:rPr>
          <w:rFonts w:ascii="Arial" w:cs="Arial" w:eastAsia="Arial" w:hAnsi="Arial"/>
          <w:b/>
          <w:bCs/>
          <w:color w:val="07101F"/>
          <w:sz w:val="19"/>
          <w:szCs w:val="19"/>
        </w:rPr>
        <w:t xml:space="preserve">1.  Level up</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[Level Up]</w:t>
            </w:r>
          </w:p>
          <w:p>
            <w:pPr>
              <w:spacing w:after="50" w:line="260"/>
            </w:pPr>
            <w:r>
              <w:rPr>
                <w:rFonts w:ascii="Courier New" w:cs="Courier New" w:eastAsia="Courier New" w:hAnsi="Courier New"/>
                <w:i w:val="false"/>
                <w:iCs w:val="false"/>
                <w:color w:val="111820"/>
                <w:sz w:val="19"/>
                <w:szCs w:val="19"/>
              </w:rPr>
              <w:t xml:space="preserve">Level 17 → 18</w:t>
            </w:r>
          </w:p>
          <w:p>
            <w:pPr>
              <w:spacing w:after="0" w:line="260"/>
            </w:pPr>
            <w:r>
              <w:rPr>
                <w:rFonts w:ascii="Courier New" w:cs="Courier New" w:eastAsia="Courier New" w:hAnsi="Courier New"/>
                <w:i w:val="false"/>
                <w:iCs w:val="false"/>
                <w:color w:val="111820"/>
                <w:sz w:val="19"/>
                <w:szCs w:val="19"/>
              </w:rPr>
              <w:t xml:space="preserve">+5 attribute points available</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The most frequent box in the genre and the one most often bloated. Three lines. The reader does not need a full stat re-listing every time.</w:t>
      </w:r>
    </w:p>
    <w:p>
      <w:pPr>
        <w:pStyle w:val="Heading3"/>
        <w:spacing w:after="70" w:before="220"/>
      </w:pPr>
      <w:r>
        <w:rPr>
          <w:rFonts w:ascii="Arial" w:cs="Arial" w:eastAsia="Arial" w:hAnsi="Arial"/>
          <w:b/>
          <w:bCs/>
          <w:color w:val="07101F"/>
          <w:sz w:val="19"/>
          <w:szCs w:val="19"/>
        </w:rPr>
        <w:t xml:space="preserve">2.  Attribute allocation</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[Allocation Confirmed]</w:t>
            </w:r>
          </w:p>
          <w:p>
            <w:pPr>
              <w:spacing w:after="50" w:line="260"/>
            </w:pPr>
            <w:r>
              <w:rPr>
                <w:rFonts w:ascii="Courier New" w:cs="Courier New" w:eastAsia="Courier New" w:hAnsi="Courier New"/>
                <w:i w:val="false"/>
                <w:iCs w:val="false"/>
                <w:color w:val="111820"/>
                <w:sz w:val="19"/>
                <w:szCs w:val="19"/>
              </w:rPr>
              <w:t xml:space="preserve">VIT 38 → 41   ·   AGI 50 → 52</w:t>
            </w:r>
          </w:p>
          <w:p>
            <w:pPr>
              <w:spacing w:after="0" w:line="260"/>
            </w:pPr>
            <w:r>
              <w:rPr>
                <w:rFonts w:ascii="Courier New" w:cs="Courier New" w:eastAsia="Courier New" w:hAnsi="Courier New"/>
                <w:i w:val="false"/>
                <w:iCs w:val="false"/>
                <w:color w:val="111820"/>
                <w:sz w:val="19"/>
                <w:szCs w:val="19"/>
              </w:rPr>
              <w:t xml:space="preserve">Max HP 686 → 742</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Show the derived consequence, not just the raw stat. “VIT +3” means nothing; “Max HP 686 → 742” is the number the reader has been tracking.</w:t>
      </w:r>
    </w:p>
    <w:p>
      <w:pPr>
        <w:pStyle w:val="Heading3"/>
        <w:spacing w:after="70" w:before="220"/>
      </w:pPr>
      <w:r>
        <w:rPr>
          <w:rFonts w:ascii="Arial" w:cs="Arial" w:eastAsia="Arial" w:hAnsi="Arial"/>
          <w:b/>
          <w:bCs/>
          <w:color w:val="07101F"/>
          <w:sz w:val="19"/>
          <w:szCs w:val="19"/>
        </w:rPr>
        <w:t xml:space="preserve">3.  Skill acquired</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[Skill Acquired]</w:t>
            </w:r>
          </w:p>
          <w:p>
            <w:pPr>
              <w:spacing w:after="50" w:line="260"/>
            </w:pPr>
            <w:r>
              <w:rPr>
                <w:rFonts w:ascii="Courier New" w:cs="Courier New" w:eastAsia="Courier New" w:hAnsi="Courier New"/>
                <w:i w:val="false"/>
                <w:iCs w:val="false"/>
                <w:color w:val="111820"/>
                <w:sz w:val="19"/>
                <w:szCs w:val="19"/>
              </w:rPr>
              <w:t xml:space="preserve">Ember Palm  —  Rank D  —  Active</w:t>
            </w:r>
          </w:p>
          <w:p>
            <w:pPr>
              <w:spacing w:after="50" w:line="260"/>
            </w:pPr>
            <w:r>
              <w:rPr>
                <w:rFonts w:ascii="Courier New" w:cs="Courier New" w:eastAsia="Courier New" w:hAnsi="Courier New"/>
                <w:i w:val="false"/>
                <w:iCs w:val="false"/>
                <w:color w:val="111820"/>
                <w:sz w:val="19"/>
                <w:szCs w:val="19"/>
              </w:rPr>
              <w:t xml:space="preserve">Cost 12 MP  ·  Cooldown 6s  ·  Scales with INT</w:t>
            </w:r>
          </w:p>
          <w:p>
            <w:pPr>
              <w:spacing w:after="0" w:line="260"/>
            </w:pPr>
            <w:r>
              <w:rPr>
                <w:rFonts w:ascii="Courier New" w:cs="Courier New" w:eastAsia="Courier New" w:hAnsi="Courier New"/>
                <w:i w:val="false"/>
                <w:iCs w:val="false"/>
                <w:color w:val="111820"/>
                <w:sz w:val="19"/>
                <w:szCs w:val="19"/>
              </w:rPr>
              <w:t xml:space="preserve">Ignites the point of contact. 8 fire damage.</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Cost, cooldown, and scaling in the box the first time. Never again after that. If a reader has to reread chapter four to know what a skill costs, you have failed them once, not twice.</w:t>
      </w:r>
    </w:p>
    <w:p>
      <w:pPr>
        <w:pStyle w:val="Heading3"/>
        <w:spacing w:after="70" w:before="220"/>
      </w:pPr>
      <w:r>
        <w:rPr>
          <w:rFonts w:ascii="Arial" w:cs="Arial" w:eastAsia="Arial" w:hAnsi="Arial"/>
          <w:b/>
          <w:bCs/>
          <w:color w:val="07101F"/>
          <w:sz w:val="19"/>
          <w:szCs w:val="19"/>
        </w:rPr>
        <w:t xml:space="preserve">4.  Skill evolution</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[Evolution]</w:t>
            </w:r>
          </w:p>
          <w:p>
            <w:pPr>
              <w:spacing w:after="50" w:line="260"/>
            </w:pPr>
            <w:r>
              <w:rPr>
                <w:rFonts w:ascii="Courier New" w:cs="Courier New" w:eastAsia="Courier New" w:hAnsi="Courier New"/>
                <w:i w:val="false"/>
                <w:iCs w:val="false"/>
                <w:color w:val="111820"/>
                <w:sz w:val="19"/>
                <w:szCs w:val="19"/>
              </w:rPr>
              <w:t xml:space="preserve">Ember Palm  →  Cinder Grasp</w:t>
            </w:r>
          </w:p>
          <w:p>
            <w:pPr>
              <w:spacing w:after="50" w:line="260"/>
            </w:pPr>
            <w:r>
              <w:rPr>
                <w:rFonts w:ascii="Courier New" w:cs="Courier New" w:eastAsia="Courier New" w:hAnsi="Courier New"/>
                <w:i w:val="false"/>
                <w:iCs w:val="false"/>
                <w:color w:val="111820"/>
                <w:sz w:val="19"/>
                <w:szCs w:val="19"/>
              </w:rPr>
              <w:t xml:space="preserve">Rank D → C</w:t>
            </w:r>
          </w:p>
          <w:p>
            <w:pPr>
              <w:spacing w:after="0" w:line="260"/>
            </w:pPr>
            <w:r>
              <w:rPr>
                <w:rFonts w:ascii="Courier New" w:cs="Courier New" w:eastAsia="Courier New" w:hAnsi="Courier New"/>
                <w:i w:val="false"/>
                <w:iCs w:val="false"/>
                <w:color w:val="111820"/>
                <w:sz w:val="19"/>
                <w:szCs w:val="19"/>
              </w:rPr>
              <w:t xml:space="preserve">Condition met: 200 kills</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Always name the condition that fired. It is the difference between an earned moment and an authorial gift, and it costs you one line.</w:t>
      </w:r>
    </w:p>
    <w:p>
      <w:pPr>
        <w:pStyle w:val="Heading3"/>
        <w:spacing w:after="70" w:before="220"/>
      </w:pPr>
      <w:r>
        <w:rPr>
          <w:rFonts w:ascii="Arial" w:cs="Arial" w:eastAsia="Arial" w:hAnsi="Arial"/>
          <w:b/>
          <w:bCs/>
          <w:color w:val="07101F"/>
          <w:sz w:val="19"/>
          <w:szCs w:val="19"/>
        </w:rPr>
        <w:t xml:space="preserve">5.  Skill rank up</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[Rank Up]</w:t>
            </w:r>
          </w:p>
          <w:p>
            <w:pPr>
              <w:spacing w:after="50" w:line="260"/>
            </w:pPr>
            <w:r>
              <w:rPr>
                <w:rFonts w:ascii="Courier New" w:cs="Courier New" w:eastAsia="Courier New" w:hAnsi="Courier New"/>
                <w:i w:val="false"/>
                <w:iCs w:val="false"/>
                <w:color w:val="111820"/>
                <w:sz w:val="19"/>
                <w:szCs w:val="19"/>
              </w:rPr>
              <w:t xml:space="preserve">Cinder Grasp  —  C → B</w:t>
            </w:r>
          </w:p>
          <w:p>
            <w:pPr>
              <w:spacing w:after="0" w:line="260"/>
            </w:pPr>
            <w:r>
              <w:rPr>
                <w:rFonts w:ascii="Courier New" w:cs="Courier New" w:eastAsia="Courier New" w:hAnsi="Courier New"/>
                <w:i w:val="false"/>
                <w:iCs w:val="false"/>
                <w:color w:val="111820"/>
                <w:sz w:val="19"/>
                <w:szCs w:val="19"/>
              </w:rPr>
              <w:t xml:space="preserve">Damage 34 → 58  ·  Cooldown 6s → 4s</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Two numbers, before and after. Readers keep score; give them something to score with.</w:t>
      </w:r>
    </w:p>
    <w:p>
      <w:pPr>
        <w:pStyle w:val="Heading3"/>
        <w:spacing w:after="70" w:before="220"/>
      </w:pPr>
      <w:r>
        <w:rPr>
          <w:rFonts w:ascii="Arial" w:cs="Arial" w:eastAsia="Arial" w:hAnsi="Arial"/>
          <w:b/>
          <w:bCs/>
          <w:color w:val="07101F"/>
          <w:sz w:val="19"/>
          <w:szCs w:val="19"/>
        </w:rPr>
        <w:t xml:space="preserve">6.  Quest offered</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[Quest Available]</w:t>
            </w:r>
          </w:p>
          <w:p>
            <w:pPr>
              <w:spacing w:after="50" w:line="260"/>
            </w:pPr>
            <w:r>
              <w:rPr>
                <w:rFonts w:ascii="Courier New" w:cs="Courier New" w:eastAsia="Courier New" w:hAnsi="Courier New"/>
                <w:i w:val="false"/>
                <w:iCs w:val="false"/>
                <w:color w:val="111820"/>
                <w:sz w:val="19"/>
                <w:szCs w:val="19"/>
              </w:rPr>
              <w:t xml:space="preserve">The Harbourmaster’s Debt</w:t>
            </w:r>
          </w:p>
          <w:p>
            <w:pPr>
              <w:spacing w:after="50" w:line="260"/>
            </w:pPr>
            <w:r>
              <w:rPr>
                <w:rFonts w:ascii="Courier New" w:cs="Courier New" w:eastAsia="Courier New" w:hAnsi="Courier New"/>
                <w:i w:val="false"/>
                <w:iCs w:val="false"/>
                <w:color w:val="111820"/>
                <w:sz w:val="19"/>
                <w:szCs w:val="19"/>
              </w:rPr>
              <w:t xml:space="preserve">Objective: recover the ledger from the Vael customs house</w:t>
            </w:r>
          </w:p>
          <w:p>
            <w:pPr>
              <w:spacing w:after="50" w:line="260"/>
            </w:pPr>
            <w:r>
              <w:rPr>
                <w:rFonts w:ascii="Courier New" w:cs="Courier New" w:eastAsia="Courier New" w:hAnsi="Courier New"/>
                <w:i w:val="false"/>
                <w:iCs w:val="false"/>
                <w:color w:val="111820"/>
                <w:sz w:val="19"/>
                <w:szCs w:val="19"/>
              </w:rPr>
              <w:t xml:space="preserve">Reward: 4,000 XP  ·  Guild standing +1</w:t>
            </w:r>
          </w:p>
          <w:p>
            <w:pPr>
              <w:spacing w:after="0" w:line="260"/>
            </w:pPr>
            <w:r>
              <w:rPr>
                <w:rFonts w:ascii="Courier New" w:cs="Courier New" w:eastAsia="Courier New" w:hAnsi="Courier New"/>
                <w:i w:val="false"/>
                <w:iCs w:val="false"/>
                <w:color w:val="111820"/>
                <w:sz w:val="19"/>
                <w:szCs w:val="19"/>
              </w:rPr>
              <w:t xml:space="preserve">Accept?  Y / N</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A quest the character can decline is a quest with tension. If every prompt is auto-accepted, drop the “Accept?” line entirely rather than making it a formality.</w:t>
      </w:r>
    </w:p>
    <w:p>
      <w:pPr>
        <w:pStyle w:val="Heading3"/>
        <w:spacing w:after="70" w:before="220"/>
      </w:pPr>
      <w:r>
        <w:rPr>
          <w:rFonts w:ascii="Arial" w:cs="Arial" w:eastAsia="Arial" w:hAnsi="Arial"/>
          <w:b/>
          <w:bCs/>
          <w:color w:val="07101F"/>
          <w:sz w:val="19"/>
          <w:szCs w:val="19"/>
        </w:rPr>
        <w:t xml:space="preserve">7.  Quest complete</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[Quest Complete]</w:t>
            </w:r>
          </w:p>
          <w:p>
            <w:pPr>
              <w:spacing w:after="50" w:line="260"/>
            </w:pPr>
            <w:r>
              <w:rPr>
                <w:rFonts w:ascii="Courier New" w:cs="Courier New" w:eastAsia="Courier New" w:hAnsi="Courier New"/>
                <w:i w:val="false"/>
                <w:iCs w:val="false"/>
                <w:color w:val="111820"/>
                <w:sz w:val="19"/>
                <w:szCs w:val="19"/>
              </w:rPr>
              <w:t xml:space="preserve">The Harbourmaster’s Debt</w:t>
            </w:r>
          </w:p>
          <w:p>
            <w:pPr>
              <w:spacing w:after="0" w:line="260"/>
            </w:pPr>
            <w:r>
              <w:rPr>
                <w:rFonts w:ascii="Courier New" w:cs="Courier New" w:eastAsia="Courier New" w:hAnsi="Courier New"/>
                <w:i w:val="false"/>
                <w:iCs w:val="false"/>
                <w:color w:val="111820"/>
                <w:sz w:val="19"/>
                <w:szCs w:val="19"/>
              </w:rPr>
              <w:t xml:space="preserve">+4,000 XP  ·  Guild standing +1</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Match the reward line to what was promised in the offer, exactly. A mismatch is the single most-reported continuity error in the genre.</w:t>
      </w:r>
    </w:p>
    <w:p>
      <w:pPr>
        <w:pStyle w:val="Heading3"/>
        <w:spacing w:after="70" w:before="220"/>
      </w:pPr>
      <w:r>
        <w:rPr>
          <w:rFonts w:ascii="Arial" w:cs="Arial" w:eastAsia="Arial" w:hAnsi="Arial"/>
          <w:b/>
          <w:bCs/>
          <w:color w:val="07101F"/>
          <w:sz w:val="19"/>
          <w:szCs w:val="19"/>
        </w:rPr>
        <w:t xml:space="preserve">8.  Quest failed</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[Quest Failed]</w:t>
            </w:r>
          </w:p>
          <w:p>
            <w:pPr>
              <w:spacing w:after="50" w:line="260"/>
            </w:pPr>
            <w:r>
              <w:rPr>
                <w:rFonts w:ascii="Courier New" w:cs="Courier New" w:eastAsia="Courier New" w:hAnsi="Courier New"/>
                <w:i w:val="false"/>
                <w:iCs w:val="false"/>
                <w:color w:val="111820"/>
                <w:sz w:val="19"/>
                <w:szCs w:val="19"/>
              </w:rPr>
              <w:t xml:space="preserve">The Harbourmaster’s Debt</w:t>
            </w:r>
          </w:p>
          <w:p>
            <w:pPr>
              <w:spacing w:after="50" w:line="260"/>
            </w:pPr>
            <w:r>
              <w:rPr>
                <w:rFonts w:ascii="Courier New" w:cs="Courier New" w:eastAsia="Courier New" w:hAnsi="Courier New"/>
                <w:i w:val="false"/>
                <w:iCs w:val="false"/>
                <w:color w:val="111820"/>
                <w:sz w:val="19"/>
                <w:szCs w:val="19"/>
              </w:rPr>
              <w:t xml:space="preserve">Guild standing −2  ·  Ledger destroyed</w:t>
            </w:r>
          </w:p>
          <w:p>
            <w:pPr>
              <w:spacing w:after="0" w:line="260"/>
            </w:pPr>
            <w:r>
              <w:rPr>
                <w:rFonts w:ascii="Courier New" w:cs="Courier New" w:eastAsia="Courier New" w:hAnsi="Courier New"/>
                <w:i w:val="false"/>
                <w:iCs w:val="false"/>
                <w:color w:val="111820"/>
                <w:sz w:val="19"/>
                <w:szCs w:val="19"/>
              </w:rPr>
              <w:t xml:space="preserve">This quest cannot be reattempted.</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Include the permanence line. Failure that can be retried is not failure, and readers will treat it as filler.</w:t>
      </w:r>
    </w:p>
    <w:p>
      <w:pPr>
        <w:pStyle w:val="Heading3"/>
        <w:spacing w:after="70" w:before="220"/>
      </w:pPr>
      <w:r>
        <w:rPr>
          <w:rFonts w:ascii="Arial" w:cs="Arial" w:eastAsia="Arial" w:hAnsi="Arial"/>
          <w:b/>
          <w:bCs/>
          <w:color w:val="07101F"/>
          <w:sz w:val="19"/>
          <w:szCs w:val="19"/>
        </w:rPr>
        <w:t xml:space="preserve">9.  Item acquired</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[Item Acquired]</w:t>
            </w:r>
          </w:p>
          <w:p>
            <w:pPr>
              <w:spacing w:after="50" w:line="260"/>
            </w:pPr>
            <w:r>
              <w:rPr>
                <w:rFonts w:ascii="Courier New" w:cs="Courier New" w:eastAsia="Courier New" w:hAnsi="Courier New"/>
                <w:i w:val="false"/>
                <w:iCs w:val="false"/>
                <w:color w:val="111820"/>
                <w:sz w:val="19"/>
                <w:szCs w:val="19"/>
              </w:rPr>
              <w:t xml:space="preserve">Captain’s Ring  —  Uncommon</w:t>
            </w:r>
          </w:p>
          <w:p>
            <w:pPr>
              <w:spacing w:after="0" w:line="260"/>
            </w:pPr>
            <w:r>
              <w:rPr>
                <w:rFonts w:ascii="Courier New" w:cs="Courier New" w:eastAsia="Courier New" w:hAnsi="Courier New"/>
                <w:i w:val="false"/>
                <w:iCs w:val="false"/>
                <w:color w:val="111820"/>
                <w:sz w:val="19"/>
                <w:szCs w:val="19"/>
              </w:rPr>
              <w:t xml:space="preserve">+4 CHA while worn.  Unidentified property detected.</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The “unidentified property” hook lets you plant something now and pay it off in book three without retrofitting.</w:t>
      </w:r>
    </w:p>
    <w:p>
      <w:pPr>
        <w:pStyle w:val="Heading3"/>
        <w:spacing w:after="70" w:before="220"/>
      </w:pPr>
      <w:r>
        <w:rPr>
          <w:rFonts w:ascii="Arial" w:cs="Arial" w:eastAsia="Arial" w:hAnsi="Arial"/>
          <w:b/>
          <w:bCs/>
          <w:color w:val="07101F"/>
          <w:sz w:val="19"/>
          <w:szCs w:val="19"/>
        </w:rPr>
        <w:t xml:space="preserve">10.  Appraisal / identification</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[Appraisal]</w:t>
            </w:r>
          </w:p>
          <w:p>
            <w:pPr>
              <w:spacing w:after="50" w:line="260"/>
            </w:pPr>
            <w:r>
              <w:rPr>
                <w:rFonts w:ascii="Courier New" w:cs="Courier New" w:eastAsia="Courier New" w:hAnsi="Courier New"/>
                <w:i w:val="false"/>
                <w:iCs w:val="false"/>
                <w:color w:val="111820"/>
                <w:sz w:val="19"/>
                <w:szCs w:val="19"/>
              </w:rPr>
              <w:t xml:space="preserve">Captain’s Ring  —  Uncommon → Rare</w:t>
            </w:r>
          </w:p>
          <w:p>
            <w:pPr>
              <w:spacing w:after="50" w:line="260"/>
            </w:pPr>
            <w:r>
              <w:rPr>
                <w:rFonts w:ascii="Courier New" w:cs="Courier New" w:eastAsia="Courier New" w:hAnsi="Courier New"/>
                <w:i w:val="false"/>
                <w:iCs w:val="false"/>
                <w:color w:val="111820"/>
                <w:sz w:val="19"/>
                <w:szCs w:val="19"/>
              </w:rPr>
              <w:t xml:space="preserve">Bound: transfers on the wearer’s death.</w:t>
            </w:r>
          </w:p>
          <w:p>
            <w:pPr>
              <w:spacing w:after="0" w:line="260"/>
            </w:pPr>
            <w:r>
              <w:rPr>
                <w:rFonts w:ascii="Courier New" w:cs="Courier New" w:eastAsia="Courier New" w:hAnsi="Courier New"/>
                <w:i w:val="false"/>
                <w:iCs w:val="false"/>
                <w:color w:val="111820"/>
                <w:sz w:val="19"/>
                <w:szCs w:val="19"/>
              </w:rPr>
              <w:t xml:space="preserve">Origin: Last Tide, pre-Collapse.</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Appraisal is your legitimate exposition channel. Use it deliberately and sparingly, or every mystery in your world gets solved by a menu.</w:t>
      </w:r>
    </w:p>
    <w:p>
      <w:pPr>
        <w:pStyle w:val="Heading3"/>
        <w:spacing w:after="70" w:before="220"/>
      </w:pPr>
      <w:r>
        <w:rPr>
          <w:rFonts w:ascii="Arial" w:cs="Arial" w:eastAsia="Arial" w:hAnsi="Arial"/>
          <w:b/>
          <w:bCs/>
          <w:color w:val="07101F"/>
          <w:sz w:val="19"/>
          <w:szCs w:val="19"/>
        </w:rPr>
        <w:t xml:space="preserve">11.  Status effect</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[Status]</w:t>
            </w:r>
          </w:p>
          <w:p>
            <w:pPr>
              <w:spacing w:after="50" w:line="260"/>
            </w:pPr>
            <w:r>
              <w:rPr>
                <w:rFonts w:ascii="Courier New" w:cs="Courier New" w:eastAsia="Courier New" w:hAnsi="Courier New"/>
                <w:i w:val="false"/>
                <w:iCs w:val="false"/>
                <w:color w:val="111820"/>
                <w:sz w:val="19"/>
                <w:szCs w:val="19"/>
              </w:rPr>
              <w:t xml:space="preserve">Burning  —  8 HP/s for 6s</w:t>
            </w:r>
          </w:p>
          <w:p>
            <w:pPr>
              <w:spacing w:after="0" w:line="260"/>
            </w:pPr>
            <w:r>
              <w:rPr>
                <w:rFonts w:ascii="Courier New" w:cs="Courier New" w:eastAsia="Courier New" w:hAnsi="Courier New"/>
                <w:i w:val="false"/>
                <w:iCs w:val="false"/>
                <w:color w:val="111820"/>
                <w:sz w:val="19"/>
                <w:szCs w:val="19"/>
              </w:rPr>
              <w:t xml:space="preserve">Source: Cinder Grasp</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Name the source. It is how a reader follows a fight involving four characters and nine effects without a diagram.</w:t>
      </w:r>
    </w:p>
    <w:p>
      <w:pPr>
        <w:pStyle w:val="Heading3"/>
        <w:spacing w:after="70" w:before="220"/>
      </w:pPr>
      <w:r>
        <w:rPr>
          <w:rFonts w:ascii="Arial" w:cs="Arial" w:eastAsia="Arial" w:hAnsi="Arial"/>
          <w:b/>
          <w:bCs/>
          <w:color w:val="07101F"/>
          <w:sz w:val="19"/>
          <w:szCs w:val="19"/>
        </w:rPr>
        <w:t xml:space="preserve">12.  System anomaly</w:t>
      </w:r>
    </w:p>
    <w:tbl>
      <w:tblPr>
        <w:tblW w:type="dxa" w:w="10080"/>
        <w:tblBorders>
          <w:top w:val="single" w:color="EAD5AE" w:sz="4"/>
          <w:left w:val="single" w:color="9A6510" w:sz="20"/>
          <w:bottom w:val="single" w:color="EAD5AE" w:sz="4"/>
          <w:right w:val="single" w:color="EAD5AE" w:sz="4"/>
          <w:insideH w:val="none" w:color="FFFFFF" w:sz="0"/>
          <w:insideV w:val="none" w:color="FFFFFF" w:sz="0"/>
        </w:tblBorders>
      </w:tblPr>
      <w:tblGrid>
        <w:gridCol w:w="10080"/>
      </w:tblGrid>
      <w:tr>
        <w:tc>
          <w:tcPr>
            <w:tcW w:type="dxa" w:w="10080"/>
            <w:shd w:fill="FDF3E2"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 ERROR ]</w:t>
            </w:r>
          </w:p>
          <w:p>
            <w:pPr>
              <w:spacing w:after="50" w:line="260"/>
            </w:pPr>
            <w:r>
              <w:rPr>
                <w:rFonts w:ascii="Courier New" w:cs="Courier New" w:eastAsia="Courier New" w:hAnsi="Courier New"/>
                <w:i w:val="false"/>
                <w:iCs w:val="false"/>
                <w:color w:val="111820"/>
                <w:sz w:val="19"/>
                <w:szCs w:val="19"/>
              </w:rPr>
              <w:t xml:space="preserve">entry not found</w:t>
            </w:r>
          </w:p>
          <w:p>
            <w:pPr>
              <w:spacing w:after="50" w:line="260"/>
            </w:pPr>
            <w:r>
              <w:rPr>
                <w:rFonts w:ascii="Courier New" w:cs="Courier New" w:eastAsia="Courier New" w:hAnsi="Courier New"/>
                <w:i w:val="false"/>
                <w:iCs w:val="false"/>
                <w:color w:val="111820"/>
                <w:sz w:val="19"/>
                <w:szCs w:val="19"/>
              </w:rPr>
              <w:t xml:space="preserve">reporting to —— </w:t>
            </w:r>
          </w:p>
          <w:p>
            <w:pPr>
              <w:spacing w:after="50" w:line="260"/>
            </w:pPr>
            <w:r>
              <w:rPr>
                <w:rFonts w:ascii="Courier New" w:cs="Courier New" w:eastAsia="Courier New" w:hAnsi="Courier New"/>
                <w:i w:val="false"/>
                <w:iCs w:val="false"/>
                <w:color w:val="111820"/>
                <w:sz w:val="19"/>
                <w:szCs w:val="19"/>
              </w:rPr>
              <w:t xml:space="preserve"> </w:t>
            </w:r>
          </w:p>
          <w:p>
            <w:pPr>
              <w:spacing w:after="0" w:line="260"/>
            </w:pPr>
            <w:r>
              <w:rPr>
                <w:rFonts w:ascii="Georgia" w:cs="Georgia" w:eastAsia="Georgia" w:hAnsi="Georgia"/>
                <w:i/>
                <w:iCs/>
                <w:color w:val="5B6577"/>
                <w:sz w:val="18"/>
                <w:szCs w:val="18"/>
              </w:rPr>
              <w:t xml:space="preserve">~ Deliberately broken. Formatting is the message.</w:t>
            </w:r>
          </w:p>
        </w:tc>
      </w:tr>
    </w:tbl>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Reserve one, at most two, of these per series. This is the only box permitted to violate your own house style, and it works precisely because everything else has been consistent for two hundred chapters.</w:t>
      </w:r>
    </w:p>
    <w:p>
      <w:pPr>
        <w:pStyle w:val="Heading2"/>
        <w:spacing w:after="110" w:before="300"/>
      </w:pPr>
      <w:r>
        <w:rPr>
          <w:rFonts w:ascii="Georgia" w:cs="Georgia" w:eastAsia="Georgia" w:hAnsi="Georgia"/>
          <w:b/>
          <w:bCs/>
          <w:color w:val="16233C"/>
          <w:sz w:val="24"/>
          <w:szCs w:val="24"/>
        </w:rPr>
        <w:t xml:space="preserve">Three boxes you should probably not write</w:t>
      </w:r>
    </w:p>
    <w:p>
      <w:pPr>
        <w:spacing w:after="130" w:line="300"/>
      </w:pPr>
      <w:r>
        <w:rPr>
          <w:rFonts w:ascii="Georgia" w:cs="Georgia" w:eastAsia="Georgia" w:hAnsi="Georgia"/>
          <w:b w:val="false"/>
          <w:bCs w:val="false"/>
          <w:i w:val="false"/>
          <w:iCs w:val="false"/>
          <w:color w:val="1A1F2B"/>
          <w:sz w:val="21"/>
          <w:szCs w:val="21"/>
        </w:rPr>
        <w:t xml:space="preserve">Combat damage numbers, turn by turn. A box for every strike turns a fight into a spreadsheet with adjectives. Summarise in prose and reserve a box for the one hit that decides the outcome.</w:t>
      </w:r>
    </w:p>
    <w:p>
      <w:pPr>
        <w:spacing w:after="130" w:line="300"/>
      </w:pPr>
      <w:r>
        <w:rPr>
          <w:rFonts w:ascii="Georgia" w:cs="Georgia" w:eastAsia="Georgia" w:hAnsi="Georgia"/>
          <w:b w:val="false"/>
          <w:bCs w:val="false"/>
          <w:i w:val="false"/>
          <w:iCs w:val="false"/>
          <w:color w:val="1A1F2B"/>
          <w:sz w:val="21"/>
          <w:szCs w:val="21"/>
        </w:rPr>
        <w:t xml:space="preserve">The full status window, more than twice per book. Once in chapter one to establish the format, once near the end to show the distance travelled. In between, quote the two or three lines that matter to the scene.</w:t>
      </w:r>
    </w:p>
    <w:p>
      <w:pPr>
        <w:spacing w:after="130" w:line="300"/>
      </w:pPr>
      <w:r>
        <w:rPr>
          <w:rFonts w:ascii="Georgia" w:cs="Georgia" w:eastAsia="Georgia" w:hAnsi="Georgia"/>
          <w:b w:val="false"/>
          <w:bCs w:val="false"/>
          <w:i w:val="false"/>
          <w:iCs w:val="false"/>
          <w:color w:val="1A1F2B"/>
          <w:sz w:val="21"/>
          <w:szCs w:val="21"/>
        </w:rPr>
        <w:t xml:space="preserve">Notifications for things the reader already knows. If the prose has just described her spell hitting, a box saying the spell hit is a speed bump, not information.</w:t>
      </w:r>
    </w:p>
    <w:p>
      <w:pPr>
        <w:spacing w:after="40" w:before="400"/>
      </w:pPr>
      <w:r>
        <w:rPr>
          <w:rFonts w:ascii="Courier New" w:cs="Courier New" w:eastAsia="Courier New" w:hAnsi="Courier New"/>
          <w:b/>
          <w:bCs/>
          <w:color w:val="2B5FD9"/>
          <w:sz w:val="17"/>
          <w:szCs w:val="17"/>
        </w:rPr>
        <w:t xml:space="preserve">[ PART 4 ]</w:t>
      </w:r>
    </w:p>
    <w:p>
      <w:pPr>
        <w:pStyle w:val="Heading1"/>
        <w:pBdr>
          <w:bottom w:val="single" w:color="07101F" w:sz="10" w:space="7"/>
        </w:pBdr>
        <w:spacing w:after="170" w:before="0"/>
      </w:pPr>
      <w:r>
        <w:rPr>
          <w:rFonts w:ascii="Georgia" w:cs="Georgia" w:eastAsia="Georgia" w:hAnsi="Georgia"/>
          <w:b/>
          <w:bCs/>
          <w:color w:val="07101F"/>
          <w:sz w:val="32"/>
          <w:szCs w:val="32"/>
        </w:rPr>
        <w:t xml:space="preserve">The frequency budget</w:t>
      </w:r>
    </w:p>
    <w:p>
      <w:pPr>
        <w:spacing w:after="130" w:line="300"/>
      </w:pPr>
      <w:r>
        <w:rPr>
          <w:rFonts w:ascii="Georgia" w:cs="Georgia" w:eastAsia="Georgia" w:hAnsi="Georgia"/>
          <w:b w:val="false"/>
          <w:bCs w:val="false"/>
          <w:i w:val="false"/>
          <w:iCs w:val="false"/>
          <w:color w:val="1A1F2B"/>
          <w:sz w:val="21"/>
          <w:szCs w:val="21"/>
        </w:rPr>
        <w:t xml:space="preserve">The boxes are a reward. They are also, mechanically, an interruption: the reader stops reading prose, reads a list, and restarts. Two per chapter feels generous. Six feels like a form.</w:t>
      </w:r>
    </w:p>
    <w:tbl>
      <w:tblPr>
        <w:tblW w:type="dxa" w:w="10080"/>
        <w:tblBorders>
          <w:top w:val="single" w:color="07101F" w:sz="12"/>
          <w:left w:val="none" w:color="FFFFFF" w:sz="0"/>
          <w:bottom w:val="single" w:color="07101F" w:sz="10"/>
          <w:right w:val="none" w:color="FFFFFF" w:sz="0"/>
          <w:insideH w:val="none" w:color="FFFFFF" w:sz="0"/>
          <w:insideV w:val="none" w:color="FFFFFF" w:sz="0"/>
        </w:tblBorders>
      </w:tblPr>
      <w:tblGrid>
        <w:gridCol w:w="2621"/>
        <w:gridCol w:w="1411"/>
        <w:gridCol w:w="1411"/>
        <w:gridCol w:w="4637"/>
      </w:tblGrid>
      <w:tr>
        <w:trPr>
          <w:tblHeader/>
        </w:trPr>
        <w:tc>
          <w:tcPr>
            <w:tcW w:type="dxa" w:w="2621"/>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Notification</w:t>
            </w:r>
          </w:p>
        </w:tc>
        <w:tc>
          <w:tcPr>
            <w:tcW w:type="dxa" w:w="1411"/>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Per chapter</w:t>
            </w:r>
          </w:p>
        </w:tc>
        <w:tc>
          <w:tcPr>
            <w:tcW w:type="dxa" w:w="1411"/>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Per book</w:t>
            </w:r>
          </w:p>
        </w:tc>
        <w:tc>
          <w:tcPr>
            <w:tcW w:type="dxa" w:w="4637"/>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Note</w:t>
            </w:r>
          </w:p>
        </w:tc>
      </w:tr>
      <w:tr>
        <w:tc>
          <w:tcPr>
            <w:tcW w:type="dxa" w:w="262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Level up</w:t>
            </w:r>
          </w:p>
        </w:tc>
        <w:tc>
          <w:tcPr>
            <w:tcW w:type="dxa" w:w="141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1</w:t>
            </w:r>
          </w:p>
        </w:tc>
        <w:tc>
          <w:tcPr>
            <w:tcW w:type="dxa" w:w="141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8 – 14</w:t>
            </w:r>
          </w:p>
        </w:tc>
        <w:tc>
          <w:tcPr>
            <w:tcW w:type="dxa" w:w="463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If two would fire in one chapter, merge them into a single multi-level box.</w:t>
            </w:r>
          </w:p>
        </w:tc>
      </w:tr>
      <w:tr>
        <w:tc>
          <w:tcPr>
            <w:tcW w:type="dxa" w:w="262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Skill acquired</w:t>
            </w:r>
          </w:p>
        </w:tc>
        <w:tc>
          <w:tcPr>
            <w:tcW w:type="dxa" w:w="141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1</w:t>
            </w:r>
          </w:p>
        </w:tc>
        <w:tc>
          <w:tcPr>
            <w:tcW w:type="dxa" w:w="141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6 – 10</w:t>
            </w:r>
          </w:p>
        </w:tc>
        <w:tc>
          <w:tcPr>
            <w:tcW w:type="dxa" w:w="4637"/>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A skill gained is a scene, not a line item. If it does not deserve a scene, it does not deserve a box.</w:t>
            </w:r>
          </w:p>
        </w:tc>
      </w:tr>
      <w:tr>
        <w:tc>
          <w:tcPr>
            <w:tcW w:type="dxa" w:w="262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Skill evolution</w:t>
            </w:r>
          </w:p>
        </w:tc>
        <w:tc>
          <w:tcPr>
            <w:tcW w:type="dxa" w:w="141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1</w:t>
            </w:r>
          </w:p>
        </w:tc>
        <w:tc>
          <w:tcPr>
            <w:tcW w:type="dxa" w:w="141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2 – 4</w:t>
            </w:r>
          </w:p>
        </w:tc>
        <w:tc>
          <w:tcPr>
            <w:tcW w:type="dxa" w:w="463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These are your act breaks. Space them deliberately.</w:t>
            </w:r>
          </w:p>
        </w:tc>
      </w:tr>
      <w:tr>
        <w:tc>
          <w:tcPr>
            <w:tcW w:type="dxa" w:w="262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Quest offered / complete</w:t>
            </w:r>
          </w:p>
        </w:tc>
        <w:tc>
          <w:tcPr>
            <w:tcW w:type="dxa" w:w="141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1</w:t>
            </w:r>
          </w:p>
        </w:tc>
        <w:tc>
          <w:tcPr>
            <w:tcW w:type="dxa" w:w="141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6 – 12</w:t>
            </w:r>
          </w:p>
        </w:tc>
        <w:tc>
          <w:tcPr>
            <w:tcW w:type="dxa" w:w="4637"/>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Offer and completion in the same chapter is usually a sign the quest was not needed.</w:t>
            </w:r>
          </w:p>
        </w:tc>
      </w:tr>
      <w:tr>
        <w:tc>
          <w:tcPr>
            <w:tcW w:type="dxa" w:w="262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Item acquired</w:t>
            </w:r>
          </w:p>
        </w:tc>
        <w:tc>
          <w:tcPr>
            <w:tcW w:type="dxa" w:w="141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2</w:t>
            </w:r>
          </w:p>
        </w:tc>
        <w:tc>
          <w:tcPr>
            <w:tcW w:type="dxa" w:w="141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as needed</w:t>
            </w:r>
          </w:p>
        </w:tc>
        <w:tc>
          <w:tcPr>
            <w:tcW w:type="dxa" w:w="463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Batch loot. One box listing four items beats four boxes.</w:t>
            </w:r>
          </w:p>
        </w:tc>
      </w:tr>
      <w:tr>
        <w:tc>
          <w:tcPr>
            <w:tcW w:type="dxa" w:w="262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Status effect</w:t>
            </w:r>
          </w:p>
        </w:tc>
        <w:tc>
          <w:tcPr>
            <w:tcW w:type="dxa" w:w="141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1</w:t>
            </w:r>
          </w:p>
        </w:tc>
        <w:tc>
          <w:tcPr>
            <w:tcW w:type="dxa" w:w="141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as needed</w:t>
            </w:r>
          </w:p>
        </w:tc>
        <w:tc>
          <w:tcPr>
            <w:tcW w:type="dxa" w:w="4637"/>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In a long fight, one box establishing the effect, then prose for the rest.</w:t>
            </w:r>
          </w:p>
        </w:tc>
      </w:tr>
      <w:tr>
        <w:tc>
          <w:tcPr>
            <w:tcW w:type="dxa" w:w="262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Full status window</w:t>
            </w:r>
          </w:p>
        </w:tc>
        <w:tc>
          <w:tcPr>
            <w:tcW w:type="dxa" w:w="141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0 – 1</w:t>
            </w:r>
          </w:p>
        </w:tc>
        <w:tc>
          <w:tcPr>
            <w:tcW w:type="dxa" w:w="1411"/>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2</w:t>
            </w:r>
          </w:p>
        </w:tc>
        <w:tc>
          <w:tcPr>
            <w:tcW w:type="dxa" w:w="4637"/>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See Part 3.</w:t>
            </w:r>
          </w:p>
        </w:tc>
      </w:tr>
      <w:tr>
        <w:tc>
          <w:tcPr>
            <w:tcW w:type="dxa" w:w="262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System anomaly</w:t>
            </w:r>
          </w:p>
        </w:tc>
        <w:tc>
          <w:tcPr>
            <w:tcW w:type="dxa" w:w="141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0</w:t>
            </w:r>
          </w:p>
        </w:tc>
        <w:tc>
          <w:tcPr>
            <w:tcW w:type="dxa" w:w="1411"/>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1</w:t>
            </w:r>
          </w:p>
        </w:tc>
        <w:tc>
          <w:tcPr>
            <w:tcW w:type="dxa" w:w="4637"/>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Per series, not per book, if you want it to land.</w:t>
            </w:r>
          </w:p>
        </w:tc>
      </w:tr>
    </w:tbl>
    <w:p>
      <w:pPr>
        <w:spacing w:after="130" w:line="300"/>
      </w:pPr>
      <w:r>
        <w:rPr>
          <w:rFonts w:ascii="Georgia" w:cs="Georgia" w:eastAsia="Georgia" w:hAnsi="Georgia"/>
          <w:b w:val="false"/>
          <w:bCs w:val="false"/>
          <w:i w:val="false"/>
          <w:iCs w:val="false"/>
          <w:color w:val="1A1F2B"/>
          <w:sz w:val="21"/>
          <w:szCs w:val="21"/>
        </w:rPr>
        <w:t xml:space="preserve"/>
      </w:r>
    </w:p>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Never place two boxes back to back without prose between them. If two events genuinely fire at once, that is one box with more lines, not two boxes.</w:t>
      </w:r>
    </w:p>
    <w:p>
      <w:pPr>
        <w:spacing w:after="40" w:before="400"/>
      </w:pPr>
      <w:r>
        <w:rPr>
          <w:rFonts w:ascii="Courier New" w:cs="Courier New" w:eastAsia="Courier New" w:hAnsi="Courier New"/>
          <w:b/>
          <w:bCs/>
          <w:color w:val="2B5FD9"/>
          <w:sz w:val="17"/>
          <w:szCs w:val="17"/>
        </w:rPr>
        <w:t xml:space="preserve">[ PART 5 ]</w:t>
      </w:r>
    </w:p>
    <w:p>
      <w:pPr>
        <w:pStyle w:val="Heading1"/>
        <w:pBdr>
          <w:bottom w:val="single" w:color="07101F" w:sz="10" w:space="7"/>
        </w:pBdr>
        <w:spacing w:after="170" w:before="0"/>
      </w:pPr>
      <w:r>
        <w:rPr>
          <w:rFonts w:ascii="Georgia" w:cs="Georgia" w:eastAsia="Georgia" w:hAnsi="Georgia"/>
          <w:b/>
          <w:bCs/>
          <w:color w:val="07101F"/>
          <w:sz w:val="32"/>
          <w:szCs w:val="32"/>
        </w:rPr>
        <w:t xml:space="preserve">Formatting that survives publication</w:t>
      </w:r>
    </w:p>
    <w:p>
      <w:pPr>
        <w:spacing w:after="130" w:line="300"/>
      </w:pPr>
      <w:r>
        <w:rPr>
          <w:rFonts w:ascii="Georgia" w:cs="Georgia" w:eastAsia="Georgia" w:hAnsi="Georgia"/>
          <w:b w:val="false"/>
          <w:bCs w:val="false"/>
          <w:i w:val="false"/>
          <w:iCs w:val="false"/>
          <w:color w:val="1A1F2B"/>
          <w:sz w:val="21"/>
          <w:szCs w:val="21"/>
        </w:rPr>
        <w:t xml:space="preserve">This is the part that gets discovered late, usually during formatting week, usually by an author who has two hundred chapters of boxes built out of characters their ebook cannot render. Read it before you commit to a design.</w:t>
      </w:r>
    </w:p>
    <w:p>
      <w:pPr>
        <w:pStyle w:val="Heading2"/>
        <w:spacing w:after="110" w:before="300"/>
      </w:pPr>
      <w:r>
        <w:rPr>
          <w:rFonts w:ascii="Georgia" w:cs="Georgia" w:eastAsia="Georgia" w:hAnsi="Georgia"/>
          <w:b/>
          <w:bCs/>
          <w:color w:val="16233C"/>
          <w:sz w:val="24"/>
          <w:szCs w:val="24"/>
        </w:rPr>
        <w:t xml:space="preserve">Box-drawing characters will fail you</w:t>
      </w:r>
    </w:p>
    <w:p>
      <w:pPr>
        <w:spacing w:after="130" w:line="300"/>
      </w:pPr>
      <w:r>
        <w:rPr>
          <w:rFonts w:ascii="Georgia" w:cs="Georgia" w:eastAsia="Georgia" w:hAnsi="Georgia"/>
          <w:b w:val="false"/>
          <w:bCs w:val="false"/>
          <w:i w:val="false"/>
          <w:iCs w:val="false"/>
          <w:color w:val="1A1F2B"/>
          <w:sz w:val="21"/>
          <w:szCs w:val="21"/>
        </w:rPr>
        <w:t xml:space="preserve">A border assembled from ─ │ ┌ ┐ └ ┘ ╔ ═ looks superb in a text editor and in a web serial. In a published ebook it breaks in four separate ways: many embedded e-reader fonts lack the glyphs and substitute boxes or blanks; the border cannot reflow, so it wraps into rubble when a reader increases the font size; it wraps again on a phone screen regardless of font size; and a screen reader announces each character individually.</w:t>
      </w:r>
    </w:p>
    <w:tbl>
      <w:tblPr>
        <w:tblW w:type="dxa" w:w="10080"/>
        <w:tblBorders>
          <w:top w:val="single" w:color="EAD5AE" w:sz="4"/>
          <w:left w:val="single" w:color="9A6510" w:sz="20"/>
          <w:bottom w:val="single" w:color="EAD5AE" w:sz="4"/>
          <w:right w:val="single" w:color="EAD5AE" w:sz="4"/>
          <w:insideH w:val="none" w:color="FFFFFF" w:sz="0"/>
          <w:insideV w:val="none" w:color="FFFFFF" w:sz="0"/>
        </w:tblBorders>
      </w:tblPr>
      <w:tblGrid>
        <w:gridCol w:w="10080"/>
      </w:tblGrid>
      <w:tr>
        <w:tc>
          <w:tcPr>
            <w:tcW w:type="dxa" w:w="10080"/>
            <w:shd w:fill="FDF3E2"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w:t>
            </w:r>
          </w:p>
          <w:p>
            <w:pPr>
              <w:spacing w:after="50" w:line="260"/>
            </w:pPr>
            <w:r>
              <w:rPr>
                <w:rFonts w:ascii="Courier New" w:cs="Courier New" w:eastAsia="Courier New" w:hAnsi="Courier New"/>
                <w:i w:val="false"/>
                <w:iCs w:val="false"/>
                <w:color w:val="111820"/>
                <w:sz w:val="19"/>
                <w:szCs w:val="19"/>
              </w:rPr>
              <w:t xml:space="preserve">│  LEVEL UP — Level 18       │</w:t>
            </w:r>
          </w:p>
          <w:p>
            <w:pPr>
              <w:spacing w:after="50" w:line="260"/>
            </w:pPr>
            <w:r>
              <w:rPr>
                <w:rFonts w:ascii="Courier New" w:cs="Courier New" w:eastAsia="Courier New" w:hAnsi="Courier New"/>
                <w:i w:val="false"/>
                <w:iCs w:val="false"/>
                <w:color w:val="111820"/>
                <w:sz w:val="19"/>
                <w:szCs w:val="19"/>
              </w:rPr>
              <w:t xml:space="preserve">└────────────────────────────┘</w:t>
            </w:r>
          </w:p>
          <w:p>
            <w:pPr>
              <w:spacing w:after="50" w:line="260"/>
            </w:pPr>
            <w:r>
              <w:rPr>
                <w:rFonts w:ascii="Courier New" w:cs="Courier New" w:eastAsia="Courier New" w:hAnsi="Courier New"/>
                <w:i w:val="false"/>
                <w:iCs w:val="false"/>
                <w:color w:val="111820"/>
                <w:sz w:val="19"/>
                <w:szCs w:val="19"/>
              </w:rPr>
              <w:t xml:space="preserve"> </w:t>
            </w:r>
          </w:p>
          <w:p>
            <w:pPr>
              <w:spacing w:after="0" w:line="260"/>
            </w:pPr>
            <w:r>
              <w:rPr>
                <w:rFonts w:ascii="Georgia" w:cs="Georgia" w:eastAsia="Georgia" w:hAnsi="Georgia"/>
                <w:i/>
                <w:iCs/>
                <w:color w:val="5B6577"/>
                <w:sz w:val="18"/>
                <w:szCs w:val="18"/>
              </w:rPr>
              <w:t xml:space="preserve">~ Fine on Royal Road. Unreliable in EPUB, and unreadable at 24pt.</w:t>
            </w:r>
          </w:p>
        </w:tc>
      </w:tr>
    </w:tbl>
    <w:p>
      <w:pPr>
        <w:pStyle w:val="Heading2"/>
        <w:spacing w:after="110" w:before="300"/>
      </w:pPr>
      <w:r>
        <w:rPr>
          <w:rFonts w:ascii="Georgia" w:cs="Georgia" w:eastAsia="Georgia" w:hAnsi="Georgia"/>
          <w:b/>
          <w:bCs/>
          <w:color w:val="16233C"/>
          <w:sz w:val="24"/>
          <w:szCs w:val="24"/>
        </w:rPr>
        <w:t xml:space="preserve">Fixed-width alignment will fail you too</w:t>
      </w:r>
    </w:p>
    <w:p>
      <w:pPr>
        <w:spacing w:after="130" w:line="300"/>
      </w:pPr>
      <w:r>
        <w:rPr>
          <w:rFonts w:ascii="Georgia" w:cs="Georgia" w:eastAsia="Georgia" w:hAnsi="Georgia"/>
          <w:b w:val="false"/>
          <w:bCs w:val="false"/>
          <w:i w:val="false"/>
          <w:iCs w:val="false"/>
          <w:color w:val="1A1F2B"/>
          <w:sz w:val="21"/>
          <w:szCs w:val="21"/>
        </w:rPr>
        <w:t xml:space="preserve">Aligning columns with spaces or tabs assumes a monospace font at a size you control. In a reflowable ebook you control neither. The same applies to preformatted blocks: they do not reflow, and Kindle in particular handles them unpredictably across device generations.</w:t>
      </w:r>
    </w:p>
    <w:p>
      <w:pPr>
        <w:pStyle w:val="Heading2"/>
        <w:spacing w:after="110" w:before="300"/>
      </w:pPr>
      <w:r>
        <w:rPr>
          <w:rFonts w:ascii="Georgia" w:cs="Georgia" w:eastAsia="Georgia" w:hAnsi="Georgia"/>
          <w:b/>
          <w:bCs/>
          <w:color w:val="16233C"/>
          <w:sz w:val="24"/>
          <w:szCs w:val="24"/>
        </w:rPr>
        <w:t xml:space="preserve">What actually works everywhere</w:t>
      </w:r>
    </w:p>
    <w:p>
      <w:pPr>
        <w:spacing w:after="130" w:line="300"/>
      </w:pPr>
      <w:r>
        <w:rPr>
          <w:rFonts w:ascii="Georgia" w:cs="Georgia" w:eastAsia="Georgia" w:hAnsi="Georgia"/>
          <w:b w:val="false"/>
          <w:bCs w:val="false"/>
          <w:i w:val="false"/>
          <w:iCs w:val="false"/>
          <w:color w:val="1A1F2B"/>
          <w:sz w:val="21"/>
          <w:szCs w:val="21"/>
        </w:rPr>
        <w:t xml:space="preserve">An indented block, a bracketed label, and typographic emphasis. No custom glyphs, no fixed widths, no tables. It reflows, it scales, it reads aloud, and it looks intentional in print:</w:t>
      </w:r>
    </w:p>
    <w:tbl>
      <w:tblPr>
        <w:tblW w:type="dxa" w:w="10080"/>
        <w:tblBorders>
          <w:top w:val="single" w:color="C8D2E4" w:sz="4"/>
          <w:left w:val="single" w:color="07101F" w:sz="20"/>
          <w:bottom w:val="single" w:color="C8D2E4" w:sz="4"/>
          <w:right w:val="single" w:color="C8D2E4" w:sz="4"/>
          <w:insideH w:val="none" w:color="FFFFFF" w:sz="0"/>
          <w:insideV w:val="none" w:color="FFFFFF" w:sz="0"/>
        </w:tblBorders>
      </w:tblPr>
      <w:tblGrid>
        <w:gridCol w:w="10080"/>
      </w:tblGrid>
      <w:tr>
        <w:tc>
          <w:tcPr>
            <w:tcW w:type="dxa" w:w="10080"/>
            <w:shd w:fill="EEF3FC" w:color="auto" w:val="clear"/>
            <w:tcMar>
              <w:top w:type="dxa" w:w="160"/>
              <w:left w:type="dxa" w:w="240"/>
              <w:bottom w:type="dxa" w:w="160"/>
              <w:right w:type="dxa" w:w="200"/>
            </w:tcMar>
          </w:tcPr>
          <w:p>
            <w:pPr>
              <w:spacing w:after="50" w:line="260"/>
            </w:pPr>
            <w:r>
              <w:rPr>
                <w:rFonts w:ascii="Courier New" w:cs="Courier New" w:eastAsia="Courier New" w:hAnsi="Courier New"/>
                <w:i w:val="false"/>
                <w:iCs w:val="false"/>
                <w:color w:val="111820"/>
                <w:sz w:val="19"/>
                <w:szCs w:val="19"/>
              </w:rPr>
              <w:t xml:space="preserve">[Level Up]</w:t>
            </w:r>
          </w:p>
          <w:p>
            <w:pPr>
              <w:spacing w:after="50" w:line="260"/>
            </w:pPr>
            <w:r>
              <w:rPr>
                <w:rFonts w:ascii="Courier New" w:cs="Courier New" w:eastAsia="Courier New" w:hAnsi="Courier New"/>
                <w:i w:val="false"/>
                <w:iCs w:val="false"/>
                <w:color w:val="111820"/>
                <w:sz w:val="19"/>
                <w:szCs w:val="19"/>
              </w:rPr>
              <w:t xml:space="preserve">Level 17 → 18</w:t>
            </w:r>
          </w:p>
          <w:p>
            <w:pPr>
              <w:spacing w:after="50" w:line="260"/>
            </w:pPr>
            <w:r>
              <w:rPr>
                <w:rFonts w:ascii="Courier New" w:cs="Courier New" w:eastAsia="Courier New" w:hAnsi="Courier New"/>
                <w:i w:val="false"/>
                <w:iCs w:val="false"/>
                <w:color w:val="111820"/>
                <w:sz w:val="19"/>
                <w:szCs w:val="19"/>
              </w:rPr>
              <w:t xml:space="preserve">+5 attribute points available</w:t>
            </w:r>
          </w:p>
          <w:p>
            <w:pPr>
              <w:spacing w:after="50" w:line="260"/>
            </w:pPr>
            <w:r>
              <w:rPr>
                <w:rFonts w:ascii="Courier New" w:cs="Courier New" w:eastAsia="Courier New" w:hAnsi="Courier New"/>
                <w:i w:val="false"/>
                <w:iCs w:val="false"/>
                <w:color w:val="111820"/>
                <w:sz w:val="19"/>
                <w:szCs w:val="19"/>
              </w:rPr>
              <w:t xml:space="preserve"> </w:t>
            </w:r>
          </w:p>
          <w:p>
            <w:pPr>
              <w:spacing w:after="0" w:line="260"/>
            </w:pPr>
            <w:r>
              <w:rPr>
                <w:rFonts w:ascii="Georgia" w:cs="Georgia" w:eastAsia="Georgia" w:hAnsi="Georgia"/>
                <w:i/>
                <w:iCs/>
                <w:color w:val="5B6577"/>
                <w:sz w:val="18"/>
                <w:szCs w:val="18"/>
              </w:rPr>
              <w:t xml:space="preserve">~ Indent plus bold label plus a bracket. Survives EPUB, print, phone, 24pt, and a screen reader.</w:t>
            </w:r>
          </w:p>
        </w:tc>
      </w:tr>
    </w:tbl>
    <w:p>
      <w:pPr>
        <w:spacing w:after="130" w:line="300"/>
      </w:pPr>
      <w:r>
        <w:rPr>
          <w:rFonts w:ascii="Georgia" w:cs="Georgia" w:eastAsia="Georgia" w:hAnsi="Georgia"/>
          <w:b w:val="false"/>
          <w:bCs w:val="false"/>
          <w:i w:val="false"/>
          <w:iCs w:val="false"/>
          <w:color w:val="1A1F2B"/>
          <w:sz w:val="21"/>
          <w:szCs w:val="21"/>
        </w:rPr>
        <w:t xml:space="preserve">In practice: apply a named paragraph style — call it “System Box” — with a left indent, a little space above and below, and bold or italic runs. Style it once, and reformatting every box in the series later is a single change instead of two thousand.</w:t>
      </w:r>
    </w:p>
    <w:p>
      <w:pPr>
        <w:pStyle w:val="Heading2"/>
        <w:spacing w:after="110" w:before="300"/>
      </w:pPr>
      <w:r>
        <w:rPr>
          <w:rFonts w:ascii="Georgia" w:cs="Georgia" w:eastAsia="Georgia" w:hAnsi="Georgia"/>
          <w:b/>
          <w:bCs/>
          <w:color w:val="16233C"/>
          <w:sz w:val="24"/>
          <w:szCs w:val="24"/>
        </w:rPr>
        <w:t xml:space="preserve">The constraint most authors forget: audio</w:t>
      </w:r>
    </w:p>
    <w:p>
      <w:pPr>
        <w:spacing w:after="130" w:line="300"/>
      </w:pPr>
      <w:r>
        <w:rPr>
          <w:rFonts w:ascii="Georgia" w:cs="Georgia" w:eastAsia="Georgia" w:hAnsi="Georgia"/>
          <w:b w:val="false"/>
          <w:bCs w:val="false"/>
          <w:i w:val="false"/>
          <w:iCs w:val="false"/>
          <w:color w:val="1A1F2B"/>
          <w:sz w:val="21"/>
          <w:szCs w:val="21"/>
        </w:rPr>
        <w:t xml:space="preserve">Audiobooks are a large share of this genre’s revenue, and every box you write has to be read aloud by a human being. A twelve-row status table becomes ninety seconds of a narrator reciting numbers, and listeners describe that experience the way you would expect. Two consequences worth designing around:</w:t>
      </w:r>
    </w:p>
    <w:p>
      <w:pPr>
        <w:pStyle w:val="ListParagraph"/>
        <w:numPr>
          <w:ilvl w:val="0"/>
          <w:numId w:val="2"/>
        </w:numPr>
        <w:spacing w:after="100" w:line="290"/>
      </w:pPr>
      <w:r>
        <w:rPr>
          <w:rFonts w:ascii="Georgia" w:cs="Georgia" w:eastAsia="Georgia" w:hAnsi="Georgia"/>
          <w:color w:val="1A1F2B"/>
          <w:sz w:val="21"/>
          <w:szCs w:val="21"/>
        </w:rPr>
        <w:t xml:space="preserve">Write boxes a person can say. Prefer “Strength rose to forty-one” shapes over dense symbol strings. Arrows, brackets, and pipes have no spoken form and the narrator will improvise one.</w:t>
      </w:r>
    </w:p>
    <w:p>
      <w:pPr>
        <w:pStyle w:val="ListParagraph"/>
        <w:numPr>
          <w:ilvl w:val="0"/>
          <w:numId w:val="2"/>
        </w:numPr>
        <w:spacing w:after="100" w:line="290"/>
      </w:pPr>
      <w:r>
        <w:rPr>
          <w:rFonts w:ascii="Georgia" w:cs="Georgia" w:eastAsia="Georgia" w:hAnsi="Georgia"/>
          <w:color w:val="1A1F2B"/>
          <w:sz w:val="21"/>
          <w:szCs w:val="21"/>
        </w:rPr>
        <w:t xml:space="preserve">Keep the mechanically important information in the prose as well as the box. A listener who misses a box has missed the plot point; a listener who hears it twice has merely heard it twice.</w:t>
      </w:r>
    </w:p>
    <w:p>
      <w:pPr>
        <w:pBdr>
          <w:left w:val="single" w:color="2B5FD9" w:sz="12" w:space="10"/>
        </w:pBdr>
        <w:spacing w:after="220" w:before="70" w:line="280"/>
        <w:ind w:left="230"/>
      </w:pPr>
      <w:r>
        <w:rPr>
          <w:rFonts w:ascii="Arial" w:cs="Arial" w:eastAsia="Arial" w:hAnsi="Arial"/>
          <w:b/>
          <w:bCs/>
          <w:color w:val="2B5FD9"/>
          <w:sz w:val="18"/>
          <w:szCs w:val="18"/>
        </w:rPr>
        <w:t xml:space="preserve">Rule.  </w:t>
      </w:r>
      <w:r>
        <w:rPr>
          <w:rFonts w:ascii="Georgia" w:cs="Georgia" w:eastAsia="Georgia" w:hAnsi="Georgia"/>
          <w:i/>
          <w:iCs/>
          <w:color w:val="333B49"/>
          <w:sz w:val="20"/>
          <w:szCs w:val="20"/>
        </w:rPr>
        <w:t xml:space="preserve">A useful test before you finalise a template: read it aloud. If you stumble, or if you find yourself skipping the punctuation, the box is built for the eye only — and a third of your audience is not using their eyes.</w:t>
      </w:r>
    </w:p>
    <w:p>
      <w:pPr>
        <w:pStyle w:val="Heading2"/>
        <w:spacing w:after="110" w:before="300"/>
      </w:pPr>
      <w:r>
        <w:rPr>
          <w:rFonts w:ascii="Georgia" w:cs="Georgia" w:eastAsia="Georgia" w:hAnsi="Georgia"/>
          <w:b/>
          <w:bCs/>
          <w:color w:val="16233C"/>
          <w:sz w:val="24"/>
          <w:szCs w:val="24"/>
        </w:rPr>
        <w:t xml:space="preserve">Serial first, book later</w:t>
      </w:r>
    </w:p>
    <w:p>
      <w:pPr>
        <w:spacing w:after="130" w:line="300"/>
      </w:pPr>
      <w:r>
        <w:rPr>
          <w:rFonts w:ascii="Georgia" w:cs="Georgia" w:eastAsia="Georgia" w:hAnsi="Georgia"/>
          <w:b w:val="false"/>
          <w:bCs w:val="false"/>
          <w:i w:val="false"/>
          <w:iCs w:val="false"/>
          <w:color w:val="1A1F2B"/>
          <w:sz w:val="21"/>
          <w:szCs w:val="21"/>
        </w:rPr>
        <w:t xml:space="preserve">If you publish to Royal Road, Scribble Hub, or a similar platform before releasing an ebook, you are writing into an environment far more permissive than the one you will publish into. Code blocks, tables, and box-drawing characters all work there. Assume every one of them will need replacing.</w:t>
      </w:r>
    </w:p>
    <w:p>
      <w:pPr>
        <w:spacing w:after="130" w:line="300"/>
      </w:pPr>
      <w:r>
        <w:rPr>
          <w:rFonts w:ascii="Georgia" w:cs="Georgia" w:eastAsia="Georgia" w:hAnsi="Georgia"/>
          <w:b w:val="false"/>
          <w:bCs w:val="false"/>
          <w:i w:val="false"/>
          <w:iCs w:val="false"/>
          <w:color w:val="1A1F2B"/>
          <w:sz w:val="21"/>
          <w:szCs w:val="21"/>
        </w:rPr>
        <w:t xml:space="preserve">The cheap insurance is to design two versions of each template on the day you design the first: the serial version, and a plain reflowable fallback. Record both in Part 6. Doing this at chapter three costs you an hour. Doing it at chapter two hundred costs you a week and a search-and-replace you will not fully trust.</w:t>
      </w:r>
    </w:p>
    <w:p>
      <w:pPr>
        <w:pStyle w:val="Heading2"/>
        <w:spacing w:after="110" w:before="300"/>
      </w:pPr>
      <w:r>
        <w:rPr>
          <w:rFonts w:ascii="Georgia" w:cs="Georgia" w:eastAsia="Georgia" w:hAnsi="Georgia"/>
          <w:b/>
          <w:bCs/>
          <w:color w:val="16233C"/>
          <w:sz w:val="24"/>
          <w:szCs w:val="24"/>
        </w:rPr>
        <w:t xml:space="preserve">Print is the exception</w:t>
      </w:r>
    </w:p>
    <w:p>
      <w:pPr>
        <w:spacing w:after="130" w:line="300"/>
      </w:pPr>
      <w:r>
        <w:rPr>
          <w:rFonts w:ascii="Georgia" w:cs="Georgia" w:eastAsia="Georgia" w:hAnsi="Georgia"/>
          <w:b w:val="false"/>
          <w:bCs w:val="false"/>
          <w:i w:val="false"/>
          <w:iCs w:val="false"/>
          <w:color w:val="1A1F2B"/>
          <w:sz w:val="21"/>
          <w:szCs w:val="21"/>
        </w:rPr>
        <w:t xml:space="preserve">Print is fixed-width, so the elaborate version is safe there — box borders, aligned columns, monospace, all of it. If you produce paperbacks, print can carry the more decorative design your ebook cannot. Just do not let the print version become the one you think of as canonical.</w:t>
      </w:r>
    </w:p>
    <w:p>
      <w:pPr>
        <w:spacing w:after="40" w:before="400"/>
      </w:pPr>
      <w:r>
        <w:rPr>
          <w:rFonts w:ascii="Courier New" w:cs="Courier New" w:eastAsia="Courier New" w:hAnsi="Courier New"/>
          <w:b/>
          <w:bCs/>
          <w:color w:val="2B5FD9"/>
          <w:sz w:val="17"/>
          <w:szCs w:val="17"/>
        </w:rPr>
        <w:t xml:space="preserve">[ PART 6 ]</w:t>
      </w:r>
    </w:p>
    <w:p>
      <w:pPr>
        <w:pStyle w:val="Heading1"/>
        <w:pBdr>
          <w:bottom w:val="single" w:color="07101F" w:sz="10" w:space="7"/>
        </w:pBdr>
        <w:spacing w:after="170" w:before="0"/>
      </w:pPr>
      <w:r>
        <w:rPr>
          <w:rFonts w:ascii="Georgia" w:cs="Georgia" w:eastAsia="Georgia" w:hAnsi="Georgia"/>
          <w:b/>
          <w:bCs/>
          <w:color w:val="07101F"/>
          <w:sz w:val="32"/>
          <w:szCs w:val="32"/>
        </w:rPr>
        <w:t xml:space="preserve">Your locked decisions</w:t>
      </w:r>
    </w:p>
    <w:p>
      <w:pPr>
        <w:spacing w:after="130" w:line="300"/>
      </w:pPr>
      <w:r>
        <w:rPr>
          <w:rFonts w:ascii="Georgia" w:cs="Georgia" w:eastAsia="Georgia" w:hAnsi="Georgia"/>
          <w:b w:val="false"/>
          <w:bCs w:val="false"/>
          <w:i w:val="false"/>
          <w:iCs w:val="false"/>
          <w:color w:val="1A1F2B"/>
          <w:sz w:val="21"/>
          <w:szCs w:val="21"/>
        </w:rPr>
        <w:t xml:space="preserve">Fill this in. Print it, or keep it open beside the manuscript. When you are unsure what a box should look like at eleven at night in the middle of a scene, the answer is here and not in your memory.</w:t>
      </w:r>
    </w:p>
    <w:tbl>
      <w:tblPr>
        <w:tblW w:type="dxa" w:w="10080"/>
        <w:tblBorders>
          <w:top w:val="single" w:color="07101F" w:sz="12"/>
          <w:left w:val="none" w:color="FFFFFF" w:sz="0"/>
          <w:bottom w:val="single" w:color="07101F" w:sz="10"/>
          <w:right w:val="none" w:color="FFFFFF" w:sz="0"/>
          <w:insideH w:val="none" w:color="FFFFFF" w:sz="0"/>
          <w:insideV w:val="none" w:color="FFFFFF" w:sz="0"/>
        </w:tblBorders>
      </w:tblPr>
      <w:tblGrid>
        <w:gridCol w:w="5242"/>
        <w:gridCol w:w="4838"/>
      </w:tblGrid>
      <w:tr>
        <w:trPr>
          <w:tblHeader/>
        </w:trPr>
        <w:tc>
          <w:tcPr>
            <w:tcW w:type="dxa" w:w="5242"/>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Decision</w:t>
            </w:r>
          </w:p>
        </w:tc>
        <w:tc>
          <w:tcPr>
            <w:tcW w:type="dxa" w:w="4838"/>
            <w:tcBorders>
              <w:top w:val="none" w:color="FFFFFF" w:sz="0"/>
              <w:left w:val="none" w:color="FFFFFF" w:sz="0"/>
              <w:bottom w:val="single" w:color="07101F" w:sz="10"/>
              <w:right w:val="none" w:color="FFFFFF" w:sz="0"/>
            </w:tcBorders>
            <w:tcMar>
              <w:top w:type="dxa" w:w="110"/>
              <w:left w:type="dxa" w:w="130"/>
              <w:bottom w:type="dxa" w:w="110"/>
              <w:right w:type="dxa" w:w="130"/>
            </w:tcMar>
          </w:tcPr>
          <w:p>
            <w:pPr>
              <w:spacing w:after="0" w:line="260"/>
            </w:pPr>
            <w:r>
              <w:rPr>
                <w:rFonts w:ascii="Arial" w:cs="Arial" w:eastAsia="Arial" w:hAnsi="Arial"/>
                <w:b/>
                <w:bCs/>
                <w:color w:val="07101F"/>
                <w:sz w:val="17"/>
                <w:szCs w:val="17"/>
              </w:rPr>
              <w:t xml:space="preserve">Locked as</w:t>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System voice (A / B / C / D from Part 1)</w:t>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Delimiter</w:t>
            </w:r>
          </w:p>
        </w:tc>
        <w:tc>
          <w:tcPr>
            <w:tcW w:type="dxa" w:w="4838"/>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Label case</w:t>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Change notation</w:t>
            </w:r>
          </w:p>
        </w:tc>
        <w:tc>
          <w:tcPr>
            <w:tcW w:type="dxa" w:w="4838"/>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Number style and comma threshold</w:t>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Stat naming — in boxes / in prose</w:t>
            </w:r>
          </w:p>
        </w:tc>
        <w:tc>
          <w:tcPr>
            <w:tcW w:type="dxa" w:w="4838"/>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Subject and tense</w:t>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Maximum lines per box</w:t>
            </w:r>
          </w:p>
        </w:tc>
        <w:tc>
          <w:tcPr>
            <w:tcW w:type="dxa" w:w="4838"/>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Can the character dismiss, filter, or silence notifications?</w:t>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Who else can see a notification, ever?</w:t>
            </w:r>
          </w:p>
        </w:tc>
        <w:tc>
          <w:tcPr>
            <w:tcW w:type="dxa" w:w="4838"/>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Paragraph style name used in the manuscript</w:t>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Serial-platform version of the box</w:t>
            </w:r>
          </w:p>
        </w:tc>
        <w:tc>
          <w:tcPr>
            <w:tcW w:type="dxa" w:w="4838"/>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Reflowable ebook fallback version</w:t>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Reserved for the system anomaly (chapter, book)</w:t>
            </w:r>
          </w:p>
        </w:tc>
        <w:tc>
          <w:tcPr>
            <w:tcW w:type="dxa" w:w="4838"/>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
            </w:r>
          </w:p>
        </w:tc>
        <w:tc>
          <w:tcPr>
            <w:tcW w:type="dxa" w:w="4838"/>
            <w:tcBorders>
              <w:top w:val="none" w:color="FFFFFF" w:sz="0"/>
              <w:left w:val="none" w:color="FFFFFF" w:sz="0"/>
              <w:bottom w:val="single" w:color="D5DAE3" w:sz="2"/>
              <w:right w:val="none" w:color="FFFFFF" w:sz="0"/>
            </w:tcBorders>
            <w:shd w:fill="F4F6FA" w:color="auto" w:val="clear"/>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r>
        <w:tc>
          <w:tcPr>
            <w:tcW w:type="dxa" w:w="5242"/>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bCs/>
                <w:color w:val="1A1F2B"/>
                <w:sz w:val="19"/>
                <w:szCs w:val="19"/>
              </w:rPr>
              <w:t xml:space="preserve"/>
            </w:r>
          </w:p>
        </w:tc>
        <w:tc>
          <w:tcPr>
            <w:tcW w:type="dxa" w:w="4838"/>
            <w:tcBorders>
              <w:top w:val="none" w:color="FFFFFF" w:sz="0"/>
              <w:left w:val="none" w:color="FFFFFF" w:sz="0"/>
              <w:bottom w:val="single" w:color="D5DAE3" w:sz="2"/>
              <w:right w:val="none" w:color="FFFFFF" w:sz="0"/>
            </w:tcBorders>
            <w:tcMar>
              <w:top w:type="dxa" w:w="110"/>
              <w:left w:type="dxa" w:w="130"/>
              <w:bottom w:type="dxa" w:w="110"/>
              <w:right w:type="dxa" w:w="130"/>
            </w:tcMar>
          </w:tcPr>
          <w:p>
            <w:pPr>
              <w:spacing w:after="0" w:line="260"/>
            </w:pPr>
            <w:r>
              <w:rPr>
                <w:rFonts w:ascii="Georgia" w:cs="Georgia" w:eastAsia="Georgia" w:hAnsi="Georgia"/>
                <w:b w:val="false"/>
                <w:bCs w:val="false"/>
                <w:color w:val="1A1F2B"/>
                <w:sz w:val="19"/>
                <w:szCs w:val="19"/>
              </w:rPr>
              <w:t xml:space="preserve"/>
            </w:r>
          </w:p>
        </w:tc>
      </w:tr>
    </w:tbl>
    <w:p>
      <w:pPr>
        <w:spacing w:after="40" w:before="400"/>
      </w:pPr>
      <w:r>
        <w:rPr>
          <w:rFonts w:ascii="Courier New" w:cs="Courier New" w:eastAsia="Courier New" w:hAnsi="Courier New"/>
          <w:b/>
          <w:bCs/>
          <w:color w:val="2B5FD9"/>
          <w:sz w:val="17"/>
          <w:szCs w:val="17"/>
        </w:rPr>
        <w:t xml:space="preserve">[ PART 7 ]</w:t>
      </w:r>
    </w:p>
    <w:p>
      <w:pPr>
        <w:pStyle w:val="Heading1"/>
        <w:pBdr>
          <w:bottom w:val="single" w:color="07101F" w:sz="10" w:space="7"/>
        </w:pBdr>
        <w:spacing w:after="170" w:before="0"/>
      </w:pPr>
      <w:r>
        <w:rPr>
          <w:rFonts w:ascii="Georgia" w:cs="Georgia" w:eastAsia="Georgia" w:hAnsi="Georgia"/>
          <w:b/>
          <w:bCs/>
          <w:color w:val="07101F"/>
          <w:sz w:val="32"/>
          <w:szCs w:val="32"/>
        </w:rPr>
        <w:t xml:space="preserve">Consistency checklist</w:t>
      </w:r>
    </w:p>
    <w:p>
      <w:pPr>
        <w:spacing w:after="130" w:line="300"/>
      </w:pPr>
      <w:r>
        <w:rPr>
          <w:rFonts w:ascii="Georgia" w:cs="Georgia" w:eastAsia="Georgia" w:hAnsi="Georgia"/>
          <w:b w:val="false"/>
          <w:bCs w:val="false"/>
          <w:i w:val="false"/>
          <w:iCs w:val="false"/>
          <w:color w:val="1A1F2B"/>
          <w:sz w:val="21"/>
          <w:szCs w:val="21"/>
        </w:rPr>
        <w:t xml:space="preserve">Run this at the end of each book. Twenty minutes, and it catches the errors readers write reviews about.</w:t>
      </w:r>
    </w:p>
    <w:p>
      <w:pPr>
        <w:pStyle w:val="ListParagraph"/>
        <w:numPr>
          <w:ilvl w:val="0"/>
          <w:numId w:val="3"/>
        </w:numPr>
        <w:spacing w:after="110" w:line="290"/>
      </w:pPr>
      <w:r>
        <w:rPr>
          <w:rFonts w:ascii="Georgia" w:cs="Georgia" w:eastAsia="Georgia" w:hAnsi="Georgia"/>
          <w:color w:val="1A1F2B"/>
          <w:sz w:val="21"/>
          <w:szCs w:val="21"/>
        </w:rPr>
        <w:t xml:space="preserve">Every box in the manuscript uses the same delimiter and the same label case.</w:t>
      </w:r>
    </w:p>
    <w:p>
      <w:pPr>
        <w:pStyle w:val="ListParagraph"/>
        <w:numPr>
          <w:ilvl w:val="0"/>
          <w:numId w:val="3"/>
        </w:numPr>
        <w:spacing w:after="110" w:line="290"/>
      </w:pPr>
      <w:r>
        <w:rPr>
          <w:rFonts w:ascii="Georgia" w:cs="Georgia" w:eastAsia="Georgia" w:hAnsi="Georgia"/>
          <w:color w:val="1A1F2B"/>
          <w:sz w:val="21"/>
          <w:szCs w:val="21"/>
        </w:rPr>
        <w:t xml:space="preserve">Every arrow or change notation is the identical character throughout.</w:t>
      </w:r>
    </w:p>
    <w:p>
      <w:pPr>
        <w:pStyle w:val="ListParagraph"/>
        <w:numPr>
          <w:ilvl w:val="0"/>
          <w:numId w:val="3"/>
        </w:numPr>
        <w:spacing w:after="110" w:line="290"/>
      </w:pPr>
      <w:r>
        <w:rPr>
          <w:rFonts w:ascii="Georgia" w:cs="Georgia" w:eastAsia="Georgia" w:hAnsi="Georgia"/>
          <w:color w:val="1A1F2B"/>
          <w:sz w:val="21"/>
          <w:szCs w:val="21"/>
        </w:rPr>
        <w:t xml:space="preserve">Numbers are formatted the same way in boxes and in prose, including the comma threshold.</w:t>
      </w:r>
    </w:p>
    <w:p>
      <w:pPr>
        <w:pStyle w:val="ListParagraph"/>
        <w:numPr>
          <w:ilvl w:val="0"/>
          <w:numId w:val="3"/>
        </w:numPr>
        <w:spacing w:after="110" w:line="290"/>
      </w:pPr>
      <w:r>
        <w:rPr>
          <w:rFonts w:ascii="Georgia" w:cs="Georgia" w:eastAsia="Georgia" w:hAnsi="Georgia"/>
          <w:color w:val="1A1F2B"/>
          <w:sz w:val="21"/>
          <w:szCs w:val="21"/>
        </w:rPr>
        <w:t xml:space="preserve">Stat names follow one convention in boxes and one in prose, with no crossover inside a single box.</w:t>
      </w:r>
    </w:p>
    <w:p>
      <w:pPr>
        <w:pStyle w:val="ListParagraph"/>
        <w:numPr>
          <w:ilvl w:val="0"/>
          <w:numId w:val="3"/>
        </w:numPr>
        <w:spacing w:after="110" w:line="290"/>
      </w:pPr>
      <w:r>
        <w:rPr>
          <w:rFonts w:ascii="Georgia" w:cs="Georgia" w:eastAsia="Georgia" w:hAnsi="Georgia"/>
          <w:color w:val="1A1F2B"/>
          <w:sz w:val="21"/>
          <w:szCs w:val="21"/>
        </w:rPr>
        <w:t xml:space="preserve">No box exceeds your maximum line count.</w:t>
      </w:r>
    </w:p>
    <w:p>
      <w:pPr>
        <w:pStyle w:val="ListParagraph"/>
        <w:numPr>
          <w:ilvl w:val="0"/>
          <w:numId w:val="3"/>
        </w:numPr>
        <w:spacing w:after="110" w:line="290"/>
      </w:pPr>
      <w:r>
        <w:rPr>
          <w:rFonts w:ascii="Georgia" w:cs="Georgia" w:eastAsia="Georgia" w:hAnsi="Georgia"/>
          <w:color w:val="1A1F2B"/>
          <w:sz w:val="21"/>
          <w:szCs w:val="21"/>
        </w:rPr>
        <w:t xml:space="preserve">No two boxes appear back to back without prose between them.</w:t>
      </w:r>
    </w:p>
    <w:p>
      <w:pPr>
        <w:pStyle w:val="ListParagraph"/>
        <w:numPr>
          <w:ilvl w:val="0"/>
          <w:numId w:val="3"/>
        </w:numPr>
        <w:spacing w:after="110" w:line="290"/>
      </w:pPr>
      <w:r>
        <w:rPr>
          <w:rFonts w:ascii="Georgia" w:cs="Georgia" w:eastAsia="Georgia" w:hAnsi="Georgia"/>
          <w:color w:val="1A1F2B"/>
          <w:sz w:val="21"/>
          <w:szCs w:val="21"/>
        </w:rPr>
        <w:t xml:space="preserve">Every quest completion reward matches what its offer promised, number for number.</w:t>
      </w:r>
    </w:p>
    <w:p>
      <w:pPr>
        <w:pStyle w:val="ListParagraph"/>
        <w:numPr>
          <w:ilvl w:val="0"/>
          <w:numId w:val="3"/>
        </w:numPr>
        <w:spacing w:after="110" w:line="290"/>
      </w:pPr>
      <w:r>
        <w:rPr>
          <w:rFonts w:ascii="Georgia" w:cs="Georgia" w:eastAsia="Georgia" w:hAnsi="Georgia"/>
          <w:color w:val="1A1F2B"/>
          <w:sz w:val="21"/>
          <w:szCs w:val="21"/>
        </w:rPr>
        <w:t xml:space="preserve">Every skill’s cost and cooldown were stated once, on acquisition, and are unchanged since.</w:t>
      </w:r>
    </w:p>
    <w:p>
      <w:pPr>
        <w:pStyle w:val="ListParagraph"/>
        <w:numPr>
          <w:ilvl w:val="0"/>
          <w:numId w:val="3"/>
        </w:numPr>
        <w:spacing w:after="110" w:line="290"/>
      </w:pPr>
      <w:r>
        <w:rPr>
          <w:rFonts w:ascii="Georgia" w:cs="Georgia" w:eastAsia="Georgia" w:hAnsi="Georgia"/>
          <w:color w:val="1A1F2B"/>
          <w:sz w:val="21"/>
          <w:szCs w:val="21"/>
        </w:rPr>
        <w:t xml:space="preserve">Every evolution names the condition that triggered it.</w:t>
      </w:r>
    </w:p>
    <w:p>
      <w:pPr>
        <w:pStyle w:val="ListParagraph"/>
        <w:numPr>
          <w:ilvl w:val="0"/>
          <w:numId w:val="3"/>
        </w:numPr>
        <w:spacing w:after="110" w:line="290"/>
      </w:pPr>
      <w:r>
        <w:rPr>
          <w:rFonts w:ascii="Georgia" w:cs="Georgia" w:eastAsia="Georgia" w:hAnsi="Georgia"/>
          <w:color w:val="1A1F2B"/>
          <w:sz w:val="21"/>
          <w:szCs w:val="21"/>
        </w:rPr>
        <w:t xml:space="preserve">The frequency budget in Part 4 holds for this book — count them.</w:t>
      </w:r>
    </w:p>
    <w:p>
      <w:pPr>
        <w:pStyle w:val="ListParagraph"/>
        <w:numPr>
          <w:ilvl w:val="0"/>
          <w:numId w:val="3"/>
        </w:numPr>
        <w:spacing w:after="110" w:line="290"/>
      </w:pPr>
      <w:r>
        <w:rPr>
          <w:rFonts w:ascii="Georgia" w:cs="Georgia" w:eastAsia="Georgia" w:hAnsi="Georgia"/>
          <w:color w:val="1A1F2B"/>
          <w:sz w:val="21"/>
          <w:szCs w:val="21"/>
        </w:rPr>
        <w:t xml:space="preserve">No box relies on box-drawing characters, tabs, or fixed-width alignment.</w:t>
      </w:r>
    </w:p>
    <w:p>
      <w:pPr>
        <w:pStyle w:val="ListParagraph"/>
        <w:numPr>
          <w:ilvl w:val="0"/>
          <w:numId w:val="3"/>
        </w:numPr>
        <w:spacing w:after="110" w:line="290"/>
      </w:pPr>
      <w:r>
        <w:rPr>
          <w:rFonts w:ascii="Georgia" w:cs="Georgia" w:eastAsia="Georgia" w:hAnsi="Georgia"/>
          <w:color w:val="1A1F2B"/>
          <w:sz w:val="21"/>
          <w:szCs w:val="21"/>
        </w:rPr>
        <w:t xml:space="preserve">Every box has been read aloud once.</w:t>
      </w:r>
    </w:p>
    <w:p>
      <w:pPr>
        <w:pStyle w:val="ListParagraph"/>
        <w:numPr>
          <w:ilvl w:val="0"/>
          <w:numId w:val="3"/>
        </w:numPr>
        <w:spacing w:after="110" w:line="290"/>
      </w:pPr>
      <w:r>
        <w:rPr>
          <w:rFonts w:ascii="Georgia" w:cs="Georgia" w:eastAsia="Georgia" w:hAnsi="Georgia"/>
          <w:color w:val="1A1F2B"/>
          <w:sz w:val="21"/>
          <w:szCs w:val="21"/>
        </w:rPr>
        <w:t xml:space="preserve">The system’s voice has not drifted since chapter one. Compare your first box and your last, side by side.</w:t>
      </w:r>
    </w:p>
    <w:p>
      <w:pPr>
        <w:pBdr>
          <w:top w:val="single" w:color="07101F" w:sz="8" w:space="10"/>
        </w:pBdr>
        <w:spacing w:after="0" w:before="500"/>
      </w:pPr>
      <w:r>
        <w:rPr>
          <w:rFonts w:ascii="Arial" w:cs="Arial" w:eastAsia="Arial" w:hAnsi="Arial"/>
          <w:b/>
          <w:bCs/>
          <w:color w:val="07101F"/>
          <w:sz w:val="21"/>
          <w:szCs w:val="21"/>
        </w:rPr>
        <w:t xml:space="preserve">Free template from Clifford — a character tracker for writers.</w:t>
      </w:r>
    </w:p>
    <w:p>
      <w:pPr>
        <w:spacing w:after="0" w:line="300"/>
      </w:pPr>
      <w:r>
        <w:rPr>
          <w:rFonts w:ascii="Georgia" w:cs="Georgia" w:eastAsia="Georgia" w:hAnsi="Georgia"/>
          <w:b w:val="false"/>
          <w:bCs w:val="false"/>
          <w:i w:val="false"/>
          <w:iCs w:val="false"/>
          <w:color w:val="1A1F2B"/>
          <w:sz w:val="21"/>
          <w:szCs w:val="21"/>
        </w:rPr>
        <w:t xml:space="preserve">Clifford keeps every character’s stats, skills, and inventory in sync chapter by chapter, across a whole series, so the numbers in your boxes are the numbers in your world. writeclifford.com</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A93A0"/>
        <w:sz w:val="16"/>
        <w:szCs w:val="16"/>
      </w:rPr>
      <w:t xml:space="preserve">LitRPG System Notification Style Guide  ·  writeclifford.com  ·  </w:t>
    </w:r>
    <w:r>
      <w:rPr>
        <w:rFonts w:ascii="Arial" w:cs="Arial" w:eastAsia="Arial" w:hAnsi="Arial"/>
        <w:color w:val="8A93A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240"/>
      </w:pPr>
    </w:lvl>
  </w:abstractNum>
  <w:abstractNum w:abstractNumId="4" w15:restartNumberingAfterBreak="0">
    <w:multiLevelType w:val="hybridMultilevel"/>
    <w:lvl w:ilvl="0" w15:tentative="1">
      <w:start w:val="1"/>
      <w:numFmt w:val="bullet"/>
      <w:lvlText w:val="□"/>
      <w:lvlJc w:val="left"/>
      <w:pPr>
        <w:ind w:left="460" w:hanging="28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LitRPG System Notification Style Guide</dc:title>
  <dc:creator>Clifford — writeclifford.com</dc:creator>
  <dc:description>A house style guide for status windows, level-ups, and quest prompts in LitRPG and progression fantasy.</dc:description>
  <cp:lastModifiedBy>Un-named</cp:lastModifiedBy>
  <cp:revision>1</cp:revision>
  <dcterms:created xsi:type="dcterms:W3CDTF">2026-07-29T20:58:03.958Z</dcterms:created>
  <dcterms:modified xsi:type="dcterms:W3CDTF">2026-07-29T20:58:03.970Z</dcterms:modified>
</cp:coreProperties>
</file>

<file path=docProps/custom.xml><?xml version="1.0" encoding="utf-8"?>
<Properties xmlns="http://schemas.openxmlformats.org/officeDocument/2006/custom-properties" xmlns:vt="http://schemas.openxmlformats.org/officeDocument/2006/docPropsVTypes"/>
</file>